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200"/>
        <w:jc w:val="center"/>
        <w:rPr>
          <w:rFonts w:cs="Arial"/>
          <w:b/>
          <w:bCs/>
          <w:sz w:val="40"/>
          <w:szCs w:val="40"/>
          <w:lang w:val="en-US"/>
        </w:rPr>
      </w:pPr>
      <w:r>
        <w:rPr>
          <w:rFonts w:cs="Arial"/>
          <w:b/>
          <w:bCs/>
          <w:sz w:val="40"/>
          <w:szCs w:val="40"/>
          <w:lang w:val="en-US"/>
        </w:rPr>
        <w:t>Annex</w:t>
      </w:r>
    </w:p>
    <w:p>
      <w:pPr>
        <w:spacing w:before="560"/>
        <w:jc w:val="center"/>
        <w:rPr>
          <w:b/>
          <w:sz w:val="40"/>
        </w:rPr>
      </w:pPr>
      <w:r>
        <w:rPr>
          <w:b/>
          <w:sz w:val="40"/>
        </w:rPr>
        <w:t>COUNTRY-SPECIFIC SET-UP</w:t>
      </w:r>
    </w:p>
    <w:p>
      <w:pPr>
        <w:spacing w:before="560"/>
        <w:jc w:val="center"/>
        <w:rPr>
          <w:b/>
          <w:sz w:val="40"/>
        </w:rPr>
      </w:pPr>
      <w:r>
        <w:rPr>
          <w:b/>
          <w:sz w:val="40"/>
        </w:rPr>
        <w:t>To the</w:t>
      </w:r>
    </w:p>
    <w:p>
      <w:pPr>
        <w:spacing w:before="560"/>
        <w:jc w:val="center"/>
        <w:rPr>
          <w:b/>
          <w:sz w:val="40"/>
        </w:rPr>
      </w:pPr>
      <w:r>
        <w:rPr>
          <w:b/>
          <w:sz w:val="40"/>
        </w:rPr>
        <w:t>FRAMEWORK AGREEMENT</w:t>
      </w:r>
    </w:p>
    <w:p>
      <w:pPr>
        <w:spacing w:before="560"/>
        <w:jc w:val="center"/>
        <w:rPr>
          <w:b/>
          <w:sz w:val="40"/>
        </w:rPr>
      </w:pPr>
      <w:r>
        <w:rPr>
          <w:b/>
          <w:sz w:val="40"/>
        </w:rPr>
        <w:t>between</w:t>
      </w:r>
    </w:p>
    <w:p>
      <w:pPr>
        <w:spacing w:before="360"/>
        <w:jc w:val="center"/>
        <w:rPr>
          <w:b/>
          <w:sz w:val="40"/>
        </w:rPr>
      </w:pPr>
      <w:r>
        <w:rPr>
          <w:b/>
          <w:sz w:val="40"/>
        </w:rPr>
        <w:t>THE SWISS CONFEDERATION</w:t>
      </w:r>
    </w:p>
    <w:p>
      <w:pPr>
        <w:spacing w:before="360"/>
        <w:jc w:val="center"/>
        <w:rPr>
          <w:b/>
          <w:sz w:val="40"/>
        </w:rPr>
      </w:pPr>
      <w:r>
        <w:rPr>
          <w:b/>
          <w:sz w:val="40"/>
        </w:rPr>
        <w:t xml:space="preserve">and </w:t>
      </w:r>
    </w:p>
    <w:p>
      <w:pPr>
        <w:spacing w:before="360"/>
        <w:jc w:val="center"/>
        <w:rPr>
          <w:b/>
          <w:sz w:val="40"/>
        </w:rPr>
      </w:pPr>
      <w:r>
        <w:rPr>
          <w:b/>
          <w:sz w:val="40"/>
        </w:rPr>
        <w:t xml:space="preserve">THE REPUBLIC OF POLAND </w:t>
      </w:r>
    </w:p>
    <w:p>
      <w:pPr>
        <w:spacing w:before="560"/>
        <w:jc w:val="center"/>
        <w:rPr>
          <w:b/>
          <w:sz w:val="40"/>
        </w:rPr>
      </w:pPr>
      <w:r>
        <w:rPr>
          <w:b/>
          <w:sz w:val="40"/>
        </w:rPr>
        <w:t>On</w:t>
      </w:r>
    </w:p>
    <w:p>
      <w:pPr>
        <w:spacing w:before="360" w:line="24" w:lineRule="atLeast"/>
        <w:jc w:val="center"/>
        <w:rPr>
          <w:rFonts w:cs="Arial"/>
          <w:sz w:val="28"/>
          <w:szCs w:val="28"/>
        </w:rPr>
      </w:pPr>
    </w:p>
    <w:p>
      <w:pPr>
        <w:spacing w:before="360"/>
        <w:jc w:val="center"/>
        <w:rPr>
          <w:lang w:val="en-US"/>
        </w:rPr>
      </w:pPr>
      <w:r>
        <w:rPr>
          <w:rFonts w:cs="Arial"/>
          <w:sz w:val="36"/>
          <w:szCs w:val="36"/>
        </w:rPr>
        <w:t>THE IMPLEMENTATION OF THE SECOND SWISS CONTRIBUTION TO SELECTED MEMBER STATES OF THE EUROPEAN UNION TO REDUCE ECONOMIC AND SOCIAL DISPARITIES WITHIN THE EUROPEAN UNION</w:t>
      </w:r>
      <w:r>
        <w:rPr>
          <w:lang w:val="en-US"/>
        </w:rPr>
        <w:br w:type="page"/>
      </w:r>
    </w:p>
    <w:p>
      <w:pPr>
        <w:pStyle w:val="Paragraphedeliste"/>
        <w:numPr>
          <w:ilvl w:val="0"/>
          <w:numId w:val="26"/>
        </w:numPr>
        <w:spacing w:before="240" w:line="240" w:lineRule="auto"/>
        <w:ind w:left="567" w:hanging="567"/>
        <w:rPr>
          <w:b/>
          <w:sz w:val="28"/>
          <w:lang w:val="en-US"/>
        </w:rPr>
      </w:pPr>
      <w:r>
        <w:rPr>
          <w:b/>
          <w:sz w:val="28"/>
          <w:lang w:val="en-US"/>
        </w:rPr>
        <w:lastRenderedPageBreak/>
        <w:t>General provisions</w:t>
      </w:r>
    </w:p>
    <w:p>
      <w:pPr>
        <w:numPr>
          <w:ilvl w:val="1"/>
          <w:numId w:val="26"/>
        </w:numPr>
        <w:spacing w:before="0" w:after="0" w:line="240" w:lineRule="auto"/>
        <w:ind w:left="567" w:hanging="567"/>
        <w:rPr>
          <w:lang w:val="en-US"/>
        </w:rPr>
      </w:pPr>
      <w:r>
        <w:rPr>
          <w:lang w:val="en-US"/>
        </w:rPr>
        <w:t xml:space="preserve">This Country-Specific Set-Up is an integral part of the Framework Agreement between the Swiss Confederation </w:t>
      </w:r>
      <w:r>
        <w:t xml:space="preserve">(hereinafter referred to as </w:t>
      </w:r>
      <w:r>
        <w:rPr>
          <w:rFonts w:cs="Arial"/>
          <w:szCs w:val="22"/>
        </w:rPr>
        <w:t>'</w:t>
      </w:r>
      <w:r>
        <w:t>Switzerland</w:t>
      </w:r>
      <w:r>
        <w:rPr>
          <w:rFonts w:cs="Arial"/>
          <w:szCs w:val="22"/>
        </w:rPr>
        <w:t>'</w:t>
      </w:r>
      <w:r>
        <w:t xml:space="preserve">) </w:t>
      </w:r>
      <w:r>
        <w:rPr>
          <w:lang w:val="en-US"/>
        </w:rPr>
        <w:t xml:space="preserve">and the Republic of Poland </w:t>
      </w:r>
      <w:r>
        <w:t xml:space="preserve">(hereinafter referred to as </w:t>
      </w:r>
      <w:r>
        <w:rPr>
          <w:rFonts w:cs="Arial"/>
          <w:szCs w:val="22"/>
        </w:rPr>
        <w:t>'</w:t>
      </w:r>
      <w:r>
        <w:t>Poland</w:t>
      </w:r>
      <w:r>
        <w:rPr>
          <w:rFonts w:cs="Arial"/>
          <w:szCs w:val="22"/>
        </w:rPr>
        <w:t>'</w:t>
      </w:r>
      <w:r>
        <w:t xml:space="preserve">) </w:t>
      </w:r>
      <w:r>
        <w:rPr>
          <w:lang w:val="en-US"/>
        </w:rPr>
        <w:t xml:space="preserve">on the implementation of the second Swiss Contribution to selected Member States of the EU to reduce economic and social disparities within the EU (hereinafter referred to as the </w:t>
      </w:r>
      <w:r>
        <w:rPr>
          <w:rFonts w:cs="Arial"/>
          <w:szCs w:val="22"/>
        </w:rPr>
        <w:t>'</w:t>
      </w:r>
      <w:r>
        <w:rPr>
          <w:lang w:val="en-US"/>
        </w:rPr>
        <w:t>Framework Agreement</w:t>
      </w:r>
      <w:r>
        <w:rPr>
          <w:rFonts w:cs="Arial"/>
          <w:szCs w:val="22"/>
        </w:rPr>
        <w:t>'</w:t>
      </w:r>
      <w:r>
        <w:rPr>
          <w:lang w:val="en-US"/>
        </w:rPr>
        <w:t>).</w:t>
      </w:r>
    </w:p>
    <w:p>
      <w:pPr>
        <w:spacing w:before="0" w:after="0" w:line="240" w:lineRule="auto"/>
        <w:ind w:left="567"/>
        <w:rPr>
          <w:lang w:val="en-US"/>
        </w:rPr>
      </w:pPr>
    </w:p>
    <w:p>
      <w:pPr>
        <w:numPr>
          <w:ilvl w:val="1"/>
          <w:numId w:val="26"/>
        </w:numPr>
        <w:spacing w:before="0" w:after="0" w:line="240" w:lineRule="auto"/>
        <w:ind w:left="567" w:hanging="567"/>
        <w:rPr>
          <w:lang w:val="en-US"/>
        </w:rPr>
      </w:pPr>
      <w:r>
        <w:rPr>
          <w:lang w:val="en-US"/>
        </w:rPr>
        <w:t>For the purposes of this Country-Specific Set-Up, the definitions in the Framework Agreement shall apply.</w:t>
      </w:r>
    </w:p>
    <w:p>
      <w:pPr>
        <w:spacing w:before="0" w:after="0" w:line="240" w:lineRule="auto"/>
        <w:rPr>
          <w:lang w:val="en-US"/>
        </w:rPr>
      </w:pPr>
    </w:p>
    <w:p>
      <w:pPr>
        <w:numPr>
          <w:ilvl w:val="1"/>
          <w:numId w:val="26"/>
        </w:numPr>
        <w:spacing w:before="0" w:after="0" w:line="240" w:lineRule="auto"/>
        <w:ind w:left="567" w:hanging="567"/>
        <w:rPr>
          <w:lang w:val="en-US"/>
        </w:rPr>
      </w:pPr>
      <w:r>
        <w:rPr>
          <w:lang w:val="en-US"/>
        </w:rPr>
        <w:t>This Country-Specific Set-Up lays down the thematic and geographical allocations of the Contribution and the specific rules agreed between Switzerland and Poland, as well as the attribution of responsibilities and tasks to entities involved in the implementation of the Swiss-Polish Cooperation Programme and in Support Measures respectively.</w:t>
      </w:r>
    </w:p>
    <w:p>
      <w:pPr>
        <w:spacing w:before="0" w:after="0" w:line="240" w:lineRule="auto"/>
        <w:rPr>
          <w:lang w:val="en-US"/>
        </w:rPr>
      </w:pPr>
    </w:p>
    <w:p>
      <w:pPr>
        <w:numPr>
          <w:ilvl w:val="1"/>
          <w:numId w:val="26"/>
        </w:numPr>
        <w:spacing w:before="0" w:after="0" w:line="240" w:lineRule="auto"/>
        <w:ind w:left="567" w:hanging="567"/>
        <w:rPr>
          <w:lang w:val="en-US"/>
        </w:rPr>
      </w:pPr>
      <w:r>
        <w:rPr>
          <w:lang w:val="en-US"/>
        </w:rPr>
        <w:t xml:space="preserve">For specific rules and procedures </w:t>
      </w:r>
      <w:r>
        <w:t>not provided in the Country-Specific Set-Up, the provisions of the Regulations shall apply</w:t>
      </w:r>
      <w:r>
        <w:rPr>
          <w:lang w:val="en-US"/>
        </w:rPr>
        <w:t>.</w:t>
      </w:r>
    </w:p>
    <w:p>
      <w:pPr>
        <w:pStyle w:val="Paragraphedeliste"/>
        <w:numPr>
          <w:ilvl w:val="0"/>
          <w:numId w:val="26"/>
        </w:numPr>
        <w:spacing w:before="480" w:line="240" w:lineRule="auto"/>
        <w:ind w:left="567" w:hanging="567"/>
        <w:rPr>
          <w:b/>
          <w:sz w:val="28"/>
          <w:lang w:val="en-US"/>
        </w:rPr>
      </w:pPr>
      <w:r>
        <w:rPr>
          <w:b/>
          <w:sz w:val="28"/>
          <w:lang w:val="en-US"/>
        </w:rPr>
        <w:t>Roles and responsibilities for the Swiss – Polish Cooperation Programme</w:t>
      </w:r>
    </w:p>
    <w:p>
      <w:pPr>
        <w:pStyle w:val="Paragraphedeliste"/>
        <w:numPr>
          <w:ilvl w:val="1"/>
          <w:numId w:val="26"/>
        </w:numPr>
        <w:spacing w:before="240" w:line="240" w:lineRule="auto"/>
        <w:ind w:left="567" w:hanging="567"/>
        <w:rPr>
          <w:b/>
          <w:lang w:val="en-US"/>
        </w:rPr>
      </w:pPr>
      <w:r>
        <w:rPr>
          <w:b/>
          <w:lang w:val="en-US"/>
        </w:rPr>
        <w:t>National Coordination Unit</w:t>
      </w:r>
    </w:p>
    <w:p>
      <w:pPr>
        <w:spacing w:before="0" w:line="240" w:lineRule="auto"/>
        <w:rPr>
          <w:lang w:val="en-US"/>
        </w:rPr>
      </w:pPr>
      <w:r>
        <w:rPr>
          <w:lang w:val="en-US"/>
        </w:rPr>
        <w:t>Poland has authorised the Minister of Development Funds and Regional Policy to act on its behalf as National Coordination Unit (NCU) of the Swiss – Polish Cooperation Programme.</w:t>
      </w:r>
    </w:p>
    <w:p>
      <w:pPr>
        <w:spacing w:before="0" w:line="240" w:lineRule="auto"/>
        <w:rPr>
          <w:lang w:val="en-US"/>
        </w:rPr>
      </w:pPr>
      <w:r>
        <w:rPr>
          <w:lang w:val="en-US"/>
        </w:rPr>
        <w:t xml:space="preserve">The Minister of Development Funds and Regional Policy is a government administration body competent for regional development. </w:t>
      </w:r>
    </w:p>
    <w:p>
      <w:pPr>
        <w:spacing w:before="0" w:line="240" w:lineRule="auto"/>
        <w:rPr>
          <w:highlight w:val="lightGray"/>
          <w:lang w:val="en-US"/>
        </w:rPr>
      </w:pPr>
      <w:r>
        <w:rPr>
          <w:lang w:val="en-US"/>
        </w:rPr>
        <w:t xml:space="preserve">The role and responsibilities of the National Coordination Unit are set out in the Regulations. </w:t>
      </w:r>
    </w:p>
    <w:p>
      <w:pPr>
        <w:pStyle w:val="Paragraphedeliste"/>
        <w:numPr>
          <w:ilvl w:val="1"/>
          <w:numId w:val="26"/>
        </w:numPr>
        <w:spacing w:before="240" w:line="240" w:lineRule="auto"/>
        <w:ind w:left="567" w:hanging="567"/>
        <w:rPr>
          <w:b/>
          <w:lang w:val="en-US"/>
        </w:rPr>
      </w:pPr>
      <w:r>
        <w:rPr>
          <w:b/>
          <w:lang w:val="en-US"/>
        </w:rPr>
        <w:t>Paying Authority</w:t>
      </w:r>
    </w:p>
    <w:p>
      <w:pPr>
        <w:spacing w:before="0" w:line="240" w:lineRule="auto"/>
        <w:rPr>
          <w:lang w:val="en-US"/>
        </w:rPr>
      </w:pPr>
      <w:r>
        <w:rPr>
          <w:lang w:val="en-US"/>
        </w:rPr>
        <w:t>The Paying Authority is the Minister of Finance.</w:t>
      </w:r>
    </w:p>
    <w:p>
      <w:pPr>
        <w:spacing w:before="0" w:line="240" w:lineRule="auto"/>
        <w:rPr>
          <w:highlight w:val="lightGray"/>
          <w:lang w:val="en-US"/>
        </w:rPr>
      </w:pPr>
      <w:r>
        <w:rPr>
          <w:rFonts w:cs="Arial"/>
          <w:color w:val="1B1B1B"/>
          <w:shd w:val="clear" w:color="auto" w:fill="FFFFFF"/>
        </w:rPr>
        <w:t xml:space="preserve">The Minister of Finance is a government administration body competent for the state budget, public finance and financial institutions. </w:t>
      </w:r>
      <w:r>
        <w:rPr>
          <w:lang w:val="en-US"/>
        </w:rPr>
        <w:t>The roles and responsibilities of the Paying Authority are set out in the Regulations.</w:t>
      </w:r>
    </w:p>
    <w:p>
      <w:pPr>
        <w:pStyle w:val="Paragraphedeliste"/>
        <w:numPr>
          <w:ilvl w:val="1"/>
          <w:numId w:val="26"/>
        </w:numPr>
        <w:spacing w:before="240" w:line="240" w:lineRule="auto"/>
        <w:ind w:left="567" w:hanging="567"/>
        <w:rPr>
          <w:b/>
          <w:lang w:val="en-US"/>
        </w:rPr>
      </w:pPr>
      <w:r>
        <w:rPr>
          <w:b/>
          <w:lang w:val="en-US"/>
        </w:rPr>
        <w:t>Audit Authority</w:t>
      </w:r>
    </w:p>
    <w:p>
      <w:pPr>
        <w:spacing w:before="0" w:line="240" w:lineRule="auto"/>
        <w:rPr>
          <w:lang w:val="en-US"/>
        </w:rPr>
      </w:pPr>
      <w:r>
        <w:rPr>
          <w:lang w:val="en-US"/>
        </w:rPr>
        <w:t>The Audit Authority is the Minister of Finance.</w:t>
      </w:r>
    </w:p>
    <w:p>
      <w:pPr>
        <w:spacing w:before="0" w:line="240" w:lineRule="auto"/>
        <w:rPr>
          <w:highlight w:val="lightGray"/>
          <w:lang w:val="en-US"/>
        </w:rPr>
      </w:pPr>
      <w:r>
        <w:rPr>
          <w:rFonts w:cs="Arial"/>
          <w:color w:val="1B1B1B"/>
          <w:shd w:val="clear" w:color="auto" w:fill="FFFFFF"/>
        </w:rPr>
        <w:t xml:space="preserve">The Minister of Finance is a government administration body competent for the state budget, public finance and financial institutions. </w:t>
      </w:r>
      <w:r>
        <w:rPr>
          <w:lang w:val="en-US"/>
        </w:rPr>
        <w:t xml:space="preserve">The roles and responsibilities of the Audit Authority are set out in the Regulations. </w:t>
      </w:r>
    </w:p>
    <w:p>
      <w:pPr>
        <w:spacing w:before="0" w:after="160" w:line="259" w:lineRule="auto"/>
        <w:rPr>
          <w:highlight w:val="yellow"/>
          <w:lang w:val="en-US"/>
        </w:rPr>
      </w:pPr>
      <w:r>
        <w:rPr>
          <w:highlight w:val="yellow"/>
          <w:lang w:val="en-US"/>
        </w:rPr>
        <w:br w:type="page"/>
      </w:r>
    </w:p>
    <w:p>
      <w:pPr>
        <w:pStyle w:val="Paragraphedeliste"/>
        <w:numPr>
          <w:ilvl w:val="0"/>
          <w:numId w:val="26"/>
        </w:numPr>
        <w:spacing w:before="240" w:line="240" w:lineRule="auto"/>
        <w:ind w:left="567" w:hanging="567"/>
        <w:rPr>
          <w:b/>
          <w:sz w:val="28"/>
          <w:lang w:val="en-US"/>
        </w:rPr>
      </w:pPr>
      <w:r>
        <w:rPr>
          <w:b/>
          <w:sz w:val="28"/>
          <w:lang w:val="en-US"/>
        </w:rPr>
        <w:lastRenderedPageBreak/>
        <w:t>Parameters of cooperation</w:t>
      </w:r>
    </w:p>
    <w:p>
      <w:pPr>
        <w:pStyle w:val="Paragraphedeliste"/>
        <w:numPr>
          <w:ilvl w:val="1"/>
          <w:numId w:val="26"/>
        </w:numPr>
        <w:spacing w:before="240" w:line="240" w:lineRule="auto"/>
        <w:ind w:left="567" w:hanging="567"/>
        <w:rPr>
          <w:b/>
          <w:lang w:val="en-US"/>
        </w:rPr>
      </w:pPr>
      <w:r>
        <w:rPr>
          <w:b/>
          <w:lang w:val="en-US"/>
        </w:rPr>
        <w:t>Thematic allocation</w:t>
      </w:r>
    </w:p>
    <w:tbl>
      <w:tblPr>
        <w:tblStyle w:val="Tabela-Siatka1"/>
        <w:tblW w:w="0" w:type="auto"/>
        <w:jc w:val="center"/>
        <w:tblLook w:val="04A0" w:firstRow="1" w:lastRow="0" w:firstColumn="1" w:lastColumn="0" w:noHBand="0" w:noVBand="1"/>
      </w:tblPr>
      <w:tblGrid>
        <w:gridCol w:w="4053"/>
        <w:gridCol w:w="2350"/>
        <w:gridCol w:w="2091"/>
      </w:tblGrid>
      <w:tr>
        <w:trPr>
          <w:jc w:val="center"/>
        </w:trPr>
        <w:tc>
          <w:tcPr>
            <w:tcW w:w="4541" w:type="dxa"/>
            <w:shd w:val="clear" w:color="auto" w:fill="D9D9D9"/>
            <w:vAlign w:val="center"/>
          </w:tcPr>
          <w:p>
            <w:pPr>
              <w:spacing w:before="60" w:after="60" w:line="276" w:lineRule="auto"/>
              <w:rPr>
                <w:b/>
                <w:bCs/>
                <w:lang w:val="en-US"/>
              </w:rPr>
            </w:pPr>
            <w:r>
              <w:rPr>
                <w:b/>
                <w:bCs/>
                <w:i/>
                <w:iCs/>
                <w:lang w:val="en-US"/>
              </w:rPr>
              <w:t>Specific objective</w:t>
            </w:r>
            <w:r>
              <w:rPr>
                <w:b/>
                <w:bCs/>
                <w:lang w:val="en-US"/>
              </w:rPr>
              <w:t xml:space="preserve"> &amp; thematic area</w:t>
            </w:r>
          </w:p>
        </w:tc>
        <w:tc>
          <w:tcPr>
            <w:tcW w:w="2565" w:type="dxa"/>
            <w:shd w:val="clear" w:color="auto" w:fill="D9D9D9"/>
            <w:vAlign w:val="center"/>
          </w:tcPr>
          <w:p>
            <w:pPr>
              <w:spacing w:before="60" w:after="60" w:line="276" w:lineRule="auto"/>
              <w:ind w:left="-108" w:right="-111"/>
              <w:jc w:val="left"/>
              <w:rPr>
                <w:lang w:val="en-US"/>
              </w:rPr>
            </w:pPr>
            <w:r>
              <w:rPr>
                <w:lang w:val="en-US"/>
              </w:rPr>
              <w:t>Indicative Swiss allocation of the Contribution</w:t>
            </w:r>
            <w:r>
              <w:br/>
            </w:r>
            <w:r>
              <w:rPr>
                <w:sz w:val="18"/>
                <w:szCs w:val="18"/>
                <w:lang w:val="en-US"/>
              </w:rPr>
              <w:t>[in CHF millions]</w:t>
            </w:r>
          </w:p>
        </w:tc>
        <w:tc>
          <w:tcPr>
            <w:tcW w:w="2239" w:type="dxa"/>
            <w:shd w:val="clear" w:color="auto" w:fill="D9D9D9"/>
          </w:tcPr>
          <w:p>
            <w:pPr>
              <w:spacing w:before="60" w:after="60" w:line="276" w:lineRule="auto"/>
              <w:ind w:left="-108" w:right="-111"/>
              <w:jc w:val="left"/>
              <w:rPr>
                <w:lang w:val="en-US"/>
              </w:rPr>
            </w:pPr>
            <w:r>
              <w:rPr>
                <w:lang w:val="en-US"/>
              </w:rPr>
              <w:t>Indicative National financial contribution</w:t>
            </w:r>
            <w:r>
              <w:rPr>
                <w:lang w:val="en-US"/>
              </w:rPr>
              <w:br/>
            </w:r>
            <w:r>
              <w:rPr>
                <w:sz w:val="18"/>
                <w:lang w:val="en-US"/>
              </w:rPr>
              <w:t>[in CHF millions]</w:t>
            </w:r>
          </w:p>
        </w:tc>
      </w:tr>
      <w:tr>
        <w:trPr>
          <w:trHeight w:hRule="exact" w:val="567"/>
          <w:jc w:val="center"/>
        </w:trPr>
        <w:tc>
          <w:tcPr>
            <w:tcW w:w="9345" w:type="dxa"/>
            <w:gridSpan w:val="3"/>
            <w:vAlign w:val="center"/>
          </w:tcPr>
          <w:p>
            <w:pPr>
              <w:numPr>
                <w:ilvl w:val="0"/>
                <w:numId w:val="29"/>
              </w:numPr>
              <w:spacing w:before="60" w:after="60" w:line="276" w:lineRule="auto"/>
              <w:jc w:val="left"/>
              <w:rPr>
                <w:b/>
                <w:bCs/>
                <w:i/>
                <w:iCs/>
                <w:sz w:val="20"/>
                <w:szCs w:val="20"/>
                <w:lang w:val="en-US"/>
              </w:rPr>
            </w:pPr>
            <w:r>
              <w:rPr>
                <w:b/>
                <w:bCs/>
                <w:i/>
                <w:iCs/>
                <w:sz w:val="20"/>
                <w:szCs w:val="20"/>
              </w:rPr>
              <w:t>Promoting economic growth and social dialogue, reducing (youth) unemployment</w:t>
            </w:r>
          </w:p>
        </w:tc>
      </w:tr>
      <w:tr>
        <w:trPr>
          <w:jc w:val="center"/>
        </w:trPr>
        <w:tc>
          <w:tcPr>
            <w:tcW w:w="4541" w:type="dxa"/>
          </w:tcPr>
          <w:p>
            <w:pPr>
              <w:tabs>
                <w:tab w:val="left" w:pos="367"/>
              </w:tabs>
              <w:spacing w:before="60" w:after="60" w:line="276" w:lineRule="auto"/>
              <w:rPr>
                <w:lang w:val="en-US"/>
              </w:rPr>
            </w:pPr>
            <w:r>
              <w:rPr>
                <w:lang w:val="en-US"/>
              </w:rPr>
              <w:t xml:space="preserve">(i) </w:t>
            </w:r>
            <w:r>
              <w:rPr>
                <w:lang w:val="en-US"/>
              </w:rPr>
              <w:tab/>
              <w:t>Vocational and professional education and training</w:t>
            </w:r>
          </w:p>
        </w:tc>
        <w:tc>
          <w:tcPr>
            <w:tcW w:w="2565" w:type="dxa"/>
          </w:tcPr>
          <w:p>
            <w:pPr>
              <w:spacing w:before="60" w:after="60" w:line="276" w:lineRule="auto"/>
              <w:jc w:val="left"/>
              <w:rPr>
                <w:lang w:val="en-US"/>
              </w:rPr>
            </w:pPr>
            <w:r>
              <w:rPr>
                <w:lang w:val="en-US"/>
              </w:rPr>
              <w:t xml:space="preserve">Thematic area under the DoT / SDC financed / amount not defined </w:t>
            </w:r>
          </w:p>
        </w:tc>
        <w:tc>
          <w:tcPr>
            <w:tcW w:w="2239" w:type="dxa"/>
          </w:tcPr>
          <w:p>
            <w:pPr>
              <w:spacing w:before="60" w:after="60" w:line="276" w:lineRule="auto"/>
              <w:jc w:val="left"/>
              <w:rPr>
                <w:lang w:val="en-US"/>
              </w:rPr>
            </w:pPr>
            <w:r>
              <w:rPr>
                <w:lang w:val="en-US"/>
              </w:rPr>
              <w:t xml:space="preserve"> </w:t>
            </w:r>
          </w:p>
        </w:tc>
      </w:tr>
      <w:tr>
        <w:trPr>
          <w:trHeight w:val="880"/>
          <w:jc w:val="center"/>
        </w:trPr>
        <w:tc>
          <w:tcPr>
            <w:tcW w:w="4541" w:type="dxa"/>
          </w:tcPr>
          <w:p>
            <w:pPr>
              <w:tabs>
                <w:tab w:val="left" w:pos="367"/>
              </w:tabs>
              <w:spacing w:before="60" w:after="60" w:line="276" w:lineRule="auto"/>
              <w:rPr>
                <w:lang w:val="en-US"/>
              </w:rPr>
            </w:pPr>
            <w:r>
              <w:rPr>
                <w:lang w:val="en-US"/>
              </w:rPr>
              <w:t>(ii)</w:t>
            </w:r>
            <w:r>
              <w:rPr>
                <w:lang w:val="en-US"/>
              </w:rPr>
              <w:tab/>
              <w:t>Research and innovation</w:t>
            </w:r>
          </w:p>
        </w:tc>
        <w:tc>
          <w:tcPr>
            <w:tcW w:w="2565" w:type="dxa"/>
          </w:tcPr>
          <w:p>
            <w:pPr>
              <w:spacing w:before="60" w:after="60" w:line="276" w:lineRule="auto"/>
              <w:jc w:val="left"/>
              <w:rPr>
                <w:lang w:val="en-US"/>
              </w:rPr>
            </w:pPr>
            <w:r>
              <w:rPr>
                <w:lang w:val="en-US"/>
              </w:rPr>
              <w:t xml:space="preserve">35 </w:t>
            </w:r>
          </w:p>
        </w:tc>
        <w:tc>
          <w:tcPr>
            <w:tcW w:w="2239" w:type="dxa"/>
          </w:tcPr>
          <w:p>
            <w:pPr>
              <w:spacing w:before="60" w:after="60" w:line="276" w:lineRule="auto"/>
              <w:jc w:val="left"/>
              <w:rPr>
                <w:lang w:val="en-US"/>
              </w:rPr>
            </w:pPr>
            <w:r>
              <w:rPr>
                <w:lang w:val="en-US"/>
              </w:rPr>
              <w:t xml:space="preserve">6.176 </w:t>
            </w:r>
          </w:p>
          <w:p>
            <w:pPr>
              <w:spacing w:before="60" w:after="60" w:line="276" w:lineRule="auto"/>
              <w:jc w:val="left"/>
              <w:rPr>
                <w:lang w:val="en-US"/>
              </w:rPr>
            </w:pPr>
            <w:r>
              <w:rPr>
                <w:lang w:val="en-US"/>
              </w:rPr>
              <w:t xml:space="preserve">(15 % at overall research program level) </w:t>
            </w:r>
          </w:p>
        </w:tc>
      </w:tr>
      <w:tr>
        <w:trPr>
          <w:jc w:val="center"/>
        </w:trPr>
        <w:tc>
          <w:tcPr>
            <w:tcW w:w="4541" w:type="dxa"/>
          </w:tcPr>
          <w:p>
            <w:pPr>
              <w:spacing w:before="0" w:after="0" w:line="240" w:lineRule="auto"/>
              <w:rPr>
                <w:highlight w:val="green"/>
                <w:lang w:val="en-US"/>
              </w:rPr>
            </w:pPr>
            <w:r>
              <w:rPr>
                <w:lang w:val="en-US"/>
              </w:rPr>
              <w:t xml:space="preserve">Basic Research </w:t>
            </w:r>
          </w:p>
        </w:tc>
        <w:tc>
          <w:tcPr>
            <w:tcW w:w="2565" w:type="dxa"/>
          </w:tcPr>
          <w:p>
            <w:pPr>
              <w:spacing w:before="0" w:after="0" w:line="240" w:lineRule="auto"/>
              <w:jc w:val="left"/>
              <w:rPr>
                <w:highlight w:val="yellow"/>
                <w:lang w:val="en-US"/>
              </w:rPr>
            </w:pPr>
            <w:r>
              <w:rPr>
                <w:lang w:val="en-US"/>
              </w:rPr>
              <w:t>6</w:t>
            </w:r>
          </w:p>
        </w:tc>
        <w:tc>
          <w:tcPr>
            <w:tcW w:w="2239" w:type="dxa"/>
          </w:tcPr>
          <w:p>
            <w:pPr>
              <w:spacing w:before="0" w:after="0" w:line="240" w:lineRule="auto"/>
              <w:jc w:val="left"/>
            </w:pPr>
            <w:r>
              <w:t>0</w:t>
            </w:r>
          </w:p>
        </w:tc>
      </w:tr>
      <w:tr>
        <w:trPr>
          <w:jc w:val="center"/>
        </w:trPr>
        <w:tc>
          <w:tcPr>
            <w:tcW w:w="4541" w:type="dxa"/>
          </w:tcPr>
          <w:p>
            <w:pPr>
              <w:spacing w:before="0" w:after="0" w:line="240" w:lineRule="auto"/>
              <w:rPr>
                <w:highlight w:val="green"/>
                <w:lang w:val="en-US"/>
              </w:rPr>
            </w:pPr>
            <w:r>
              <w:rPr>
                <w:lang w:val="en-US"/>
              </w:rPr>
              <w:t xml:space="preserve">Applied Research </w:t>
            </w:r>
          </w:p>
        </w:tc>
        <w:tc>
          <w:tcPr>
            <w:tcW w:w="2565" w:type="dxa"/>
          </w:tcPr>
          <w:p>
            <w:pPr>
              <w:spacing w:before="0" w:after="0" w:line="240" w:lineRule="auto"/>
              <w:jc w:val="left"/>
              <w:rPr>
                <w:highlight w:val="yellow"/>
                <w:lang w:val="en-US"/>
              </w:rPr>
            </w:pPr>
            <w:r>
              <w:rPr>
                <w:lang w:val="en-US"/>
              </w:rPr>
              <w:t>29</w:t>
            </w:r>
          </w:p>
        </w:tc>
        <w:tc>
          <w:tcPr>
            <w:tcW w:w="2239" w:type="dxa"/>
          </w:tcPr>
          <w:p>
            <w:pPr>
              <w:spacing w:before="0" w:after="0" w:line="240" w:lineRule="auto"/>
              <w:jc w:val="left"/>
            </w:pPr>
            <w:r>
              <w:t>6.176</w:t>
            </w:r>
          </w:p>
        </w:tc>
      </w:tr>
      <w:tr>
        <w:trPr>
          <w:jc w:val="center"/>
        </w:trPr>
        <w:tc>
          <w:tcPr>
            <w:tcW w:w="4541" w:type="dxa"/>
          </w:tcPr>
          <w:p>
            <w:pPr>
              <w:tabs>
                <w:tab w:val="left" w:pos="367"/>
              </w:tabs>
              <w:spacing w:before="60" w:after="60" w:line="276" w:lineRule="auto"/>
              <w:rPr>
                <w:lang w:val="en-US"/>
              </w:rPr>
            </w:pPr>
            <w:r>
              <w:rPr>
                <w:lang w:val="en-US"/>
              </w:rPr>
              <w:t>(iii)</w:t>
            </w:r>
            <w:r>
              <w:rPr>
                <w:lang w:val="en-US"/>
              </w:rPr>
              <w:tab/>
              <w:t>Financing for micro, small and medium-sized enterprises</w:t>
            </w:r>
          </w:p>
        </w:tc>
        <w:tc>
          <w:tcPr>
            <w:tcW w:w="2565" w:type="dxa"/>
          </w:tcPr>
          <w:p>
            <w:pPr>
              <w:spacing w:before="60" w:after="60" w:line="276" w:lineRule="auto"/>
              <w:jc w:val="left"/>
              <w:rPr>
                <w:highlight w:val="yellow"/>
                <w:lang w:val="en-US"/>
              </w:rPr>
            </w:pPr>
            <w:r>
              <w:rPr>
                <w:lang w:val="en-US"/>
              </w:rPr>
              <w:t>Thematic area under the DoT/ SECO financed / amount not defined</w:t>
            </w:r>
          </w:p>
        </w:tc>
        <w:tc>
          <w:tcPr>
            <w:tcW w:w="2239" w:type="dxa"/>
          </w:tcPr>
          <w:p>
            <w:pPr>
              <w:spacing w:before="60" w:after="60" w:line="276" w:lineRule="auto"/>
              <w:jc w:val="left"/>
              <w:rPr>
                <w:lang w:val="en-US"/>
              </w:rPr>
            </w:pPr>
          </w:p>
        </w:tc>
      </w:tr>
      <w:tr>
        <w:trPr>
          <w:trHeight w:hRule="exact" w:val="567"/>
          <w:jc w:val="center"/>
        </w:trPr>
        <w:tc>
          <w:tcPr>
            <w:tcW w:w="9345" w:type="dxa"/>
            <w:gridSpan w:val="3"/>
            <w:vAlign w:val="center"/>
          </w:tcPr>
          <w:p>
            <w:pPr>
              <w:numPr>
                <w:ilvl w:val="0"/>
                <w:numId w:val="29"/>
              </w:numPr>
              <w:spacing w:before="60" w:after="60" w:line="276" w:lineRule="auto"/>
              <w:jc w:val="left"/>
              <w:rPr>
                <w:b/>
                <w:bCs/>
                <w:sz w:val="20"/>
                <w:szCs w:val="20"/>
                <w:lang w:val="en-US"/>
              </w:rPr>
            </w:pPr>
            <w:r>
              <w:rPr>
                <w:b/>
                <w:bCs/>
                <w:i/>
                <w:iCs/>
                <w:sz w:val="20"/>
                <w:szCs w:val="20"/>
              </w:rPr>
              <w:t>Managing migration and supporting integration. Increasing public safety and security</w:t>
            </w:r>
          </w:p>
        </w:tc>
      </w:tr>
      <w:tr>
        <w:trPr>
          <w:jc w:val="center"/>
        </w:trPr>
        <w:tc>
          <w:tcPr>
            <w:tcW w:w="4541" w:type="dxa"/>
          </w:tcPr>
          <w:p>
            <w:pPr>
              <w:tabs>
                <w:tab w:val="left" w:pos="367"/>
              </w:tabs>
              <w:spacing w:before="60" w:after="60" w:line="276" w:lineRule="auto"/>
              <w:rPr>
                <w:lang w:val="en-US"/>
              </w:rPr>
            </w:pPr>
            <w:r>
              <w:rPr>
                <w:lang w:val="en-US"/>
              </w:rPr>
              <w:t>(iv)</w:t>
            </w:r>
            <w:r>
              <w:rPr>
                <w:lang w:val="en-US"/>
              </w:rPr>
              <w:tab/>
              <w:t>Providing support to migration management and promoting integration measures</w:t>
            </w:r>
          </w:p>
        </w:tc>
        <w:tc>
          <w:tcPr>
            <w:tcW w:w="2565" w:type="dxa"/>
          </w:tcPr>
          <w:p>
            <w:pPr>
              <w:spacing w:before="60" w:after="60" w:line="276" w:lineRule="auto"/>
              <w:jc w:val="left"/>
              <w:rPr>
                <w:lang w:val="en-US"/>
              </w:rPr>
            </w:pPr>
            <w:r>
              <w:rPr>
                <w:lang w:val="en-US"/>
              </w:rPr>
              <w:t xml:space="preserve">Thematic area under theDoT/ SDC financed / amount not defined </w:t>
            </w:r>
          </w:p>
        </w:tc>
        <w:tc>
          <w:tcPr>
            <w:tcW w:w="2239" w:type="dxa"/>
          </w:tcPr>
          <w:p>
            <w:pPr>
              <w:spacing w:before="60" w:after="60" w:line="276" w:lineRule="auto"/>
              <w:jc w:val="left"/>
              <w:rPr>
                <w:lang w:val="en-US"/>
              </w:rPr>
            </w:pPr>
          </w:p>
        </w:tc>
      </w:tr>
      <w:tr>
        <w:trPr>
          <w:jc w:val="center"/>
        </w:trPr>
        <w:tc>
          <w:tcPr>
            <w:tcW w:w="4541" w:type="dxa"/>
          </w:tcPr>
          <w:p>
            <w:pPr>
              <w:tabs>
                <w:tab w:val="left" w:pos="367"/>
              </w:tabs>
              <w:spacing w:before="60" w:after="60" w:line="276" w:lineRule="auto"/>
              <w:rPr>
                <w:lang w:val="en-US"/>
              </w:rPr>
            </w:pPr>
            <w:r>
              <w:rPr>
                <w:lang w:val="en-US"/>
              </w:rPr>
              <w:t>(v)</w:t>
            </w:r>
            <w:r>
              <w:rPr>
                <w:lang w:val="en-US"/>
              </w:rPr>
              <w:tab/>
              <w:t>Improving public safety and security</w:t>
            </w:r>
          </w:p>
        </w:tc>
        <w:tc>
          <w:tcPr>
            <w:tcW w:w="2565" w:type="dxa"/>
          </w:tcPr>
          <w:p>
            <w:pPr>
              <w:spacing w:before="60" w:after="60" w:line="276" w:lineRule="auto"/>
              <w:jc w:val="left"/>
              <w:rPr>
                <w:lang w:val="en-US"/>
              </w:rPr>
            </w:pPr>
            <w:r>
              <w:rPr>
                <w:lang w:val="en-US"/>
              </w:rPr>
              <w:t xml:space="preserve">Thematic area under the DoT / SDC financed / amount not defined </w:t>
            </w:r>
          </w:p>
        </w:tc>
        <w:tc>
          <w:tcPr>
            <w:tcW w:w="2239" w:type="dxa"/>
          </w:tcPr>
          <w:p>
            <w:pPr>
              <w:spacing w:before="60" w:after="60" w:line="276" w:lineRule="auto"/>
              <w:jc w:val="left"/>
              <w:rPr>
                <w:lang w:val="en-US"/>
              </w:rPr>
            </w:pPr>
          </w:p>
        </w:tc>
      </w:tr>
      <w:tr>
        <w:trPr>
          <w:trHeight w:hRule="exact" w:val="567"/>
          <w:jc w:val="center"/>
        </w:trPr>
        <w:tc>
          <w:tcPr>
            <w:tcW w:w="9345" w:type="dxa"/>
            <w:gridSpan w:val="3"/>
            <w:vAlign w:val="center"/>
          </w:tcPr>
          <w:p>
            <w:pPr>
              <w:numPr>
                <w:ilvl w:val="0"/>
                <w:numId w:val="29"/>
              </w:numPr>
              <w:spacing w:before="60" w:after="60" w:line="276" w:lineRule="auto"/>
              <w:jc w:val="left"/>
              <w:rPr>
                <w:b/>
                <w:bCs/>
                <w:lang w:val="en-US"/>
              </w:rPr>
            </w:pPr>
            <w:r>
              <w:rPr>
                <w:b/>
                <w:bCs/>
                <w:i/>
                <w:iCs/>
                <w:sz w:val="20"/>
                <w:szCs w:val="20"/>
              </w:rPr>
              <w:t>Protecting the environment and the climate</w:t>
            </w:r>
          </w:p>
        </w:tc>
      </w:tr>
      <w:tr>
        <w:trPr>
          <w:jc w:val="center"/>
        </w:trPr>
        <w:tc>
          <w:tcPr>
            <w:tcW w:w="4541" w:type="dxa"/>
          </w:tcPr>
          <w:p>
            <w:pPr>
              <w:tabs>
                <w:tab w:val="left" w:pos="367"/>
              </w:tabs>
              <w:spacing w:before="60" w:after="60" w:line="276" w:lineRule="auto"/>
              <w:rPr>
                <w:lang w:val="en-US"/>
              </w:rPr>
            </w:pPr>
            <w:r>
              <w:rPr>
                <w:lang w:val="en-US"/>
              </w:rPr>
              <w:t>(vi)</w:t>
            </w:r>
            <w:r>
              <w:rPr>
                <w:lang w:val="en-US"/>
              </w:rPr>
              <w:tab/>
              <w:t>Energy efficiency and renewable energy</w:t>
            </w:r>
          </w:p>
        </w:tc>
        <w:tc>
          <w:tcPr>
            <w:tcW w:w="2565" w:type="dxa"/>
          </w:tcPr>
          <w:p>
            <w:pPr>
              <w:spacing w:before="60" w:after="60" w:line="276" w:lineRule="auto"/>
              <w:jc w:val="left"/>
              <w:rPr>
                <w:lang w:val="en-US"/>
              </w:rPr>
            </w:pPr>
            <w:r>
              <w:rPr>
                <w:lang w:val="en-US"/>
              </w:rPr>
              <w:t>Thematic area under the DoT/ SECO financed / amount not defined</w:t>
            </w:r>
          </w:p>
        </w:tc>
        <w:tc>
          <w:tcPr>
            <w:tcW w:w="2239" w:type="dxa"/>
          </w:tcPr>
          <w:p>
            <w:pPr>
              <w:spacing w:before="60" w:after="60" w:line="276" w:lineRule="auto"/>
              <w:jc w:val="left"/>
              <w:rPr>
                <w:lang w:val="en-US"/>
              </w:rPr>
            </w:pPr>
          </w:p>
        </w:tc>
      </w:tr>
      <w:tr>
        <w:trPr>
          <w:jc w:val="center"/>
        </w:trPr>
        <w:tc>
          <w:tcPr>
            <w:tcW w:w="4541" w:type="dxa"/>
          </w:tcPr>
          <w:p>
            <w:pPr>
              <w:tabs>
                <w:tab w:val="left" w:pos="367"/>
              </w:tabs>
              <w:spacing w:before="60" w:after="60" w:line="276" w:lineRule="auto"/>
              <w:rPr>
                <w:lang w:val="en-US"/>
              </w:rPr>
            </w:pPr>
            <w:r>
              <w:rPr>
                <w:lang w:val="en-US"/>
              </w:rPr>
              <w:t>(vii) Public transport</w:t>
            </w:r>
          </w:p>
        </w:tc>
        <w:tc>
          <w:tcPr>
            <w:tcW w:w="2565" w:type="dxa"/>
          </w:tcPr>
          <w:p>
            <w:pPr>
              <w:spacing w:before="60" w:after="60" w:line="276" w:lineRule="auto"/>
              <w:jc w:val="left"/>
              <w:rPr>
                <w:lang w:val="en-US"/>
              </w:rPr>
            </w:pPr>
            <w:r>
              <w:rPr>
                <w:lang w:val="en-US"/>
              </w:rPr>
              <w:t>Thematic area under the DoT/ SECO financed / amount not defined</w:t>
            </w:r>
          </w:p>
        </w:tc>
        <w:tc>
          <w:tcPr>
            <w:tcW w:w="2239" w:type="dxa"/>
          </w:tcPr>
          <w:p>
            <w:pPr>
              <w:spacing w:before="60" w:after="60" w:line="276" w:lineRule="auto"/>
              <w:jc w:val="left"/>
              <w:rPr>
                <w:lang w:val="en-US"/>
              </w:rPr>
            </w:pPr>
          </w:p>
        </w:tc>
      </w:tr>
      <w:tr>
        <w:trPr>
          <w:jc w:val="center"/>
        </w:trPr>
        <w:tc>
          <w:tcPr>
            <w:tcW w:w="4541" w:type="dxa"/>
          </w:tcPr>
          <w:p>
            <w:pPr>
              <w:tabs>
                <w:tab w:val="left" w:pos="367"/>
              </w:tabs>
              <w:spacing w:before="60" w:after="60" w:line="276" w:lineRule="auto"/>
              <w:rPr>
                <w:lang w:val="en-US"/>
              </w:rPr>
            </w:pPr>
            <w:r>
              <w:rPr>
                <w:lang w:val="en-US"/>
              </w:rPr>
              <w:lastRenderedPageBreak/>
              <w:t>(viii) Water and waste-water management</w:t>
            </w:r>
          </w:p>
        </w:tc>
        <w:tc>
          <w:tcPr>
            <w:tcW w:w="2565" w:type="dxa"/>
          </w:tcPr>
          <w:p>
            <w:pPr>
              <w:spacing w:before="60" w:after="60" w:line="276" w:lineRule="auto"/>
              <w:jc w:val="left"/>
              <w:rPr>
                <w:lang w:val="en-US"/>
              </w:rPr>
            </w:pPr>
            <w:r>
              <w:rPr>
                <w:lang w:val="en-US"/>
              </w:rPr>
              <w:t>Thematic area under the DoT/ SECO financed / amount not defined</w:t>
            </w:r>
          </w:p>
        </w:tc>
        <w:tc>
          <w:tcPr>
            <w:tcW w:w="2239" w:type="dxa"/>
          </w:tcPr>
          <w:p>
            <w:pPr>
              <w:spacing w:before="60" w:after="60" w:line="276" w:lineRule="auto"/>
              <w:jc w:val="left"/>
              <w:rPr>
                <w:lang w:val="en-US"/>
              </w:rPr>
            </w:pPr>
          </w:p>
        </w:tc>
      </w:tr>
      <w:tr>
        <w:trPr>
          <w:jc w:val="center"/>
        </w:trPr>
        <w:tc>
          <w:tcPr>
            <w:tcW w:w="4541" w:type="dxa"/>
          </w:tcPr>
          <w:p>
            <w:pPr>
              <w:tabs>
                <w:tab w:val="left" w:pos="367"/>
              </w:tabs>
              <w:spacing w:before="60" w:after="60" w:line="276" w:lineRule="auto"/>
              <w:rPr>
                <w:lang w:val="en-US"/>
              </w:rPr>
            </w:pPr>
            <w:r>
              <w:rPr>
                <w:lang w:val="en-US"/>
              </w:rPr>
              <w:t>(ix)</w:t>
            </w:r>
            <w:r>
              <w:rPr>
                <w:lang w:val="en-US"/>
              </w:rPr>
              <w:tab/>
              <w:t>Waste management</w:t>
            </w:r>
          </w:p>
        </w:tc>
        <w:tc>
          <w:tcPr>
            <w:tcW w:w="2565" w:type="dxa"/>
          </w:tcPr>
          <w:p>
            <w:pPr>
              <w:spacing w:before="60" w:after="60" w:line="276" w:lineRule="auto"/>
              <w:jc w:val="left"/>
              <w:rPr>
                <w:lang w:val="en-US"/>
              </w:rPr>
            </w:pPr>
            <w:r>
              <w:rPr>
                <w:lang w:val="en-US"/>
              </w:rPr>
              <w:t>Thematic area under the DoT/ SECO financed / amount not defined</w:t>
            </w:r>
          </w:p>
        </w:tc>
        <w:tc>
          <w:tcPr>
            <w:tcW w:w="2239" w:type="dxa"/>
          </w:tcPr>
          <w:p>
            <w:pPr>
              <w:spacing w:before="60" w:after="60" w:line="276" w:lineRule="auto"/>
              <w:jc w:val="left"/>
              <w:rPr>
                <w:lang w:val="en-US"/>
              </w:rPr>
            </w:pPr>
          </w:p>
        </w:tc>
      </w:tr>
      <w:tr>
        <w:trPr>
          <w:jc w:val="center"/>
        </w:trPr>
        <w:tc>
          <w:tcPr>
            <w:tcW w:w="4541" w:type="dxa"/>
          </w:tcPr>
          <w:p>
            <w:pPr>
              <w:tabs>
                <w:tab w:val="left" w:pos="367"/>
              </w:tabs>
              <w:spacing w:before="60" w:after="60" w:line="276" w:lineRule="auto"/>
              <w:rPr>
                <w:lang w:val="en-US"/>
              </w:rPr>
            </w:pPr>
            <w:r>
              <w:rPr>
                <w:lang w:val="en-US"/>
              </w:rPr>
              <w:t>(x)</w:t>
            </w:r>
            <w:r>
              <w:rPr>
                <w:lang w:val="en-US"/>
              </w:rPr>
              <w:tab/>
              <w:t>Nature conservation and biodiversity</w:t>
            </w:r>
          </w:p>
        </w:tc>
        <w:tc>
          <w:tcPr>
            <w:tcW w:w="2565" w:type="dxa"/>
          </w:tcPr>
          <w:p>
            <w:pPr>
              <w:spacing w:before="60" w:after="60" w:line="276" w:lineRule="auto"/>
              <w:jc w:val="left"/>
              <w:rPr>
                <w:lang w:val="en-US"/>
              </w:rPr>
            </w:pPr>
            <w:r>
              <w:rPr>
                <w:lang w:val="en-US"/>
              </w:rPr>
              <w:t xml:space="preserve">Thematic area under the DoT/ SDC or SECO financed / amount not defined </w:t>
            </w:r>
          </w:p>
        </w:tc>
        <w:tc>
          <w:tcPr>
            <w:tcW w:w="2239" w:type="dxa"/>
          </w:tcPr>
          <w:p>
            <w:pPr>
              <w:spacing w:before="60" w:after="60" w:line="276" w:lineRule="auto"/>
              <w:jc w:val="left"/>
              <w:rPr>
                <w:lang w:val="en-US"/>
              </w:rPr>
            </w:pPr>
          </w:p>
        </w:tc>
      </w:tr>
      <w:tr>
        <w:trPr>
          <w:trHeight w:val="567"/>
          <w:jc w:val="center"/>
        </w:trPr>
        <w:tc>
          <w:tcPr>
            <w:tcW w:w="9345" w:type="dxa"/>
            <w:gridSpan w:val="3"/>
          </w:tcPr>
          <w:p>
            <w:pPr>
              <w:numPr>
                <w:ilvl w:val="0"/>
                <w:numId w:val="29"/>
              </w:numPr>
              <w:spacing w:before="60" w:after="60" w:line="276" w:lineRule="auto"/>
              <w:jc w:val="left"/>
              <w:rPr>
                <w:b/>
                <w:i/>
                <w:sz w:val="20"/>
                <w:szCs w:val="20"/>
              </w:rPr>
            </w:pPr>
            <w:r>
              <w:rPr>
                <w:b/>
                <w:bCs/>
                <w:i/>
                <w:iCs/>
                <w:sz w:val="20"/>
                <w:szCs w:val="20"/>
              </w:rPr>
              <w:t>Strengthening of social systems</w:t>
            </w:r>
          </w:p>
        </w:tc>
      </w:tr>
      <w:tr>
        <w:trPr>
          <w:jc w:val="center"/>
        </w:trPr>
        <w:tc>
          <w:tcPr>
            <w:tcW w:w="4541" w:type="dxa"/>
          </w:tcPr>
          <w:p>
            <w:pPr>
              <w:tabs>
                <w:tab w:val="left" w:pos="367"/>
              </w:tabs>
              <w:spacing w:before="60" w:after="60" w:line="276" w:lineRule="auto"/>
              <w:rPr>
                <w:lang w:val="en-US"/>
              </w:rPr>
            </w:pPr>
            <w:r>
              <w:rPr>
                <w:lang w:val="en-US"/>
              </w:rPr>
              <w:t>(xi)</w:t>
            </w:r>
            <w:r>
              <w:rPr>
                <w:lang w:val="en-US"/>
              </w:rPr>
              <w:tab/>
              <w:t>Health and social protection</w:t>
            </w:r>
          </w:p>
        </w:tc>
        <w:tc>
          <w:tcPr>
            <w:tcW w:w="2565" w:type="dxa"/>
          </w:tcPr>
          <w:p>
            <w:pPr>
              <w:spacing w:before="60" w:after="60" w:line="276" w:lineRule="auto"/>
              <w:jc w:val="left"/>
              <w:rPr>
                <w:lang w:val="en-US"/>
              </w:rPr>
            </w:pPr>
            <w:r>
              <w:rPr>
                <w:lang w:val="en-US"/>
              </w:rPr>
              <w:t>Thematic area under the DoT/ SDC financed / amount not defined</w:t>
            </w:r>
          </w:p>
        </w:tc>
        <w:tc>
          <w:tcPr>
            <w:tcW w:w="2239" w:type="dxa"/>
          </w:tcPr>
          <w:p>
            <w:pPr>
              <w:spacing w:before="60" w:after="60" w:line="276" w:lineRule="auto"/>
              <w:jc w:val="left"/>
              <w:rPr>
                <w:lang w:val="en-US"/>
              </w:rPr>
            </w:pPr>
          </w:p>
        </w:tc>
      </w:tr>
      <w:tr>
        <w:trPr>
          <w:jc w:val="center"/>
        </w:trPr>
        <w:tc>
          <w:tcPr>
            <w:tcW w:w="4541" w:type="dxa"/>
          </w:tcPr>
          <w:p>
            <w:pPr>
              <w:tabs>
                <w:tab w:val="left" w:pos="367"/>
              </w:tabs>
              <w:spacing w:before="60" w:after="60" w:line="276" w:lineRule="auto"/>
              <w:rPr>
                <w:lang w:val="en-US"/>
              </w:rPr>
            </w:pPr>
            <w:r>
              <w:rPr>
                <w:lang w:val="en-US"/>
              </w:rPr>
              <w:t>(xii)</w:t>
            </w:r>
            <w:r>
              <w:rPr>
                <w:lang w:val="en-US"/>
              </w:rPr>
              <w:tab/>
              <w:t xml:space="preserve"> Minorities and socially disadvantaged groups</w:t>
            </w:r>
          </w:p>
        </w:tc>
        <w:tc>
          <w:tcPr>
            <w:tcW w:w="2565" w:type="dxa"/>
          </w:tcPr>
          <w:p>
            <w:pPr>
              <w:spacing w:before="60" w:after="60" w:line="276" w:lineRule="auto"/>
              <w:jc w:val="left"/>
              <w:rPr>
                <w:lang w:val="en-US"/>
              </w:rPr>
            </w:pPr>
            <w:r>
              <w:rPr>
                <w:lang w:val="en-US"/>
              </w:rPr>
              <w:t>Thematic area under the DoT/ SDC financed / amount not defined</w:t>
            </w:r>
          </w:p>
        </w:tc>
        <w:tc>
          <w:tcPr>
            <w:tcW w:w="2239" w:type="dxa"/>
          </w:tcPr>
          <w:p>
            <w:pPr>
              <w:spacing w:before="60" w:after="60" w:line="276" w:lineRule="auto"/>
              <w:jc w:val="left"/>
              <w:rPr>
                <w:lang w:val="en-US"/>
              </w:rPr>
            </w:pPr>
          </w:p>
        </w:tc>
      </w:tr>
      <w:tr>
        <w:trPr>
          <w:trHeight w:hRule="exact" w:val="567"/>
          <w:jc w:val="center"/>
        </w:trPr>
        <w:tc>
          <w:tcPr>
            <w:tcW w:w="9345" w:type="dxa"/>
            <w:gridSpan w:val="3"/>
            <w:vAlign w:val="center"/>
          </w:tcPr>
          <w:p>
            <w:pPr>
              <w:numPr>
                <w:ilvl w:val="0"/>
                <w:numId w:val="29"/>
              </w:numPr>
              <w:spacing w:before="60" w:after="60" w:line="276" w:lineRule="auto"/>
              <w:jc w:val="left"/>
              <w:rPr>
                <w:b/>
                <w:bCs/>
                <w:color w:val="000000"/>
                <w:sz w:val="20"/>
                <w:szCs w:val="20"/>
                <w:lang w:val="en-US"/>
              </w:rPr>
            </w:pPr>
            <w:r>
              <w:rPr>
                <w:b/>
                <w:i/>
                <w:sz w:val="20"/>
              </w:rPr>
              <w:t>C</w:t>
            </w:r>
            <w:r>
              <w:rPr>
                <w:b/>
                <w:bCs/>
                <w:i/>
                <w:iCs/>
                <w:sz w:val="20"/>
                <w:szCs w:val="20"/>
              </w:rPr>
              <w:t>ivic Engagement and Transparency</w:t>
            </w:r>
          </w:p>
        </w:tc>
      </w:tr>
      <w:tr>
        <w:trPr>
          <w:jc w:val="center"/>
        </w:trPr>
        <w:tc>
          <w:tcPr>
            <w:tcW w:w="4541" w:type="dxa"/>
          </w:tcPr>
          <w:p>
            <w:pPr>
              <w:tabs>
                <w:tab w:val="left" w:pos="367"/>
              </w:tabs>
              <w:spacing w:before="60" w:after="60" w:line="276" w:lineRule="auto"/>
              <w:rPr>
                <w:color w:val="000000"/>
                <w:lang w:val="en-US"/>
              </w:rPr>
            </w:pPr>
            <w:r>
              <w:rPr>
                <w:color w:val="000000"/>
                <w:lang w:val="en-US"/>
              </w:rPr>
              <w:t>(xiii)</w:t>
            </w:r>
            <w:r>
              <w:rPr>
                <w:color w:val="000000"/>
              </w:rPr>
              <w:t xml:space="preserve"> Civic engagement and transparency</w:t>
            </w:r>
          </w:p>
        </w:tc>
        <w:tc>
          <w:tcPr>
            <w:tcW w:w="2565" w:type="dxa"/>
          </w:tcPr>
          <w:p>
            <w:pPr>
              <w:tabs>
                <w:tab w:val="left" w:pos="5920"/>
              </w:tabs>
              <w:spacing w:before="60" w:after="60" w:line="276" w:lineRule="auto"/>
              <w:jc w:val="left"/>
              <w:rPr>
                <w:color w:val="000000"/>
                <w:lang w:val="en-US"/>
              </w:rPr>
            </w:pPr>
            <w:r>
              <w:rPr>
                <w:lang w:val="en-US"/>
              </w:rPr>
              <w:t>Thematic area under the DoT/ SDC financed / amount not defined</w:t>
            </w:r>
          </w:p>
        </w:tc>
        <w:tc>
          <w:tcPr>
            <w:tcW w:w="2239" w:type="dxa"/>
          </w:tcPr>
          <w:p>
            <w:pPr>
              <w:spacing w:before="60" w:after="60" w:line="276" w:lineRule="auto"/>
              <w:jc w:val="left"/>
              <w:rPr>
                <w:lang w:val="en-US"/>
              </w:rPr>
            </w:pPr>
          </w:p>
        </w:tc>
      </w:tr>
      <w:tr>
        <w:trPr>
          <w:trHeight w:hRule="exact" w:val="567"/>
          <w:jc w:val="center"/>
        </w:trPr>
        <w:tc>
          <w:tcPr>
            <w:tcW w:w="9345" w:type="dxa"/>
            <w:gridSpan w:val="3"/>
            <w:vAlign w:val="center"/>
          </w:tcPr>
          <w:p>
            <w:pPr>
              <w:numPr>
                <w:ilvl w:val="0"/>
                <w:numId w:val="29"/>
              </w:numPr>
              <w:spacing w:before="60" w:after="60" w:line="276" w:lineRule="auto"/>
              <w:jc w:val="left"/>
              <w:rPr>
                <w:b/>
                <w:bCs/>
                <w:i/>
                <w:iCs/>
                <w:lang w:val="en-US"/>
              </w:rPr>
            </w:pPr>
            <w:r>
              <w:rPr>
                <w:b/>
                <w:bCs/>
                <w:i/>
                <w:iCs/>
                <w:sz w:val="20"/>
                <w:szCs w:val="20"/>
              </w:rPr>
              <w:t>Technical Support</w:t>
            </w:r>
          </w:p>
        </w:tc>
      </w:tr>
      <w:tr>
        <w:trPr>
          <w:jc w:val="center"/>
        </w:trPr>
        <w:tc>
          <w:tcPr>
            <w:tcW w:w="4541" w:type="dxa"/>
          </w:tcPr>
          <w:p>
            <w:pPr>
              <w:tabs>
                <w:tab w:val="left" w:pos="367"/>
              </w:tabs>
              <w:spacing w:before="60" w:after="60" w:line="276" w:lineRule="auto"/>
              <w:rPr>
                <w:color w:val="000000"/>
                <w:lang w:val="en-US"/>
              </w:rPr>
            </w:pPr>
            <w:r>
              <w:rPr>
                <w:color w:val="000000"/>
                <w:lang w:val="en-US"/>
              </w:rPr>
              <w:t>(xiv) Technical Assistance Fund</w:t>
            </w:r>
          </w:p>
        </w:tc>
        <w:tc>
          <w:tcPr>
            <w:tcW w:w="2565" w:type="dxa"/>
          </w:tcPr>
          <w:p>
            <w:pPr>
              <w:spacing w:before="60" w:after="60" w:line="276" w:lineRule="auto"/>
              <w:jc w:val="left"/>
              <w:rPr>
                <w:lang w:val="en-US"/>
              </w:rPr>
            </w:pPr>
            <w:r>
              <w:rPr>
                <w:lang w:val="en-US"/>
              </w:rPr>
              <w:t>4.8</w:t>
            </w:r>
          </w:p>
        </w:tc>
        <w:tc>
          <w:tcPr>
            <w:tcW w:w="2239" w:type="dxa"/>
            <w:vAlign w:val="center"/>
          </w:tcPr>
          <w:p>
            <w:pPr>
              <w:spacing w:before="60" w:after="60" w:line="276" w:lineRule="auto"/>
              <w:jc w:val="left"/>
              <w:rPr>
                <w:lang w:val="en-US"/>
              </w:rPr>
            </w:pPr>
            <w:r>
              <w:rPr>
                <w:lang w:val="en-US"/>
              </w:rPr>
              <w:t>N/A</w:t>
            </w:r>
          </w:p>
        </w:tc>
      </w:tr>
      <w:tr>
        <w:trPr>
          <w:jc w:val="center"/>
        </w:trPr>
        <w:tc>
          <w:tcPr>
            <w:tcW w:w="4541" w:type="dxa"/>
          </w:tcPr>
          <w:p>
            <w:pPr>
              <w:tabs>
                <w:tab w:val="left" w:pos="457"/>
              </w:tabs>
              <w:spacing w:before="60" w:after="60" w:line="276" w:lineRule="auto"/>
            </w:pPr>
            <w:r>
              <w:rPr>
                <w:lang w:val="en-US"/>
              </w:rPr>
              <w:t>(xv)</w:t>
            </w:r>
            <w:r>
              <w:rPr>
                <w:lang w:val="en-US"/>
              </w:rPr>
              <w:tab/>
            </w:r>
            <w:r>
              <w:t>Support Measure Preparation Fund</w:t>
            </w:r>
          </w:p>
        </w:tc>
        <w:tc>
          <w:tcPr>
            <w:tcW w:w="2565" w:type="dxa"/>
          </w:tcPr>
          <w:p>
            <w:pPr>
              <w:spacing w:before="60" w:after="60" w:line="276" w:lineRule="auto"/>
              <w:jc w:val="left"/>
              <w:rPr>
                <w:lang w:val="en-US"/>
              </w:rPr>
            </w:pPr>
            <w:r>
              <w:rPr>
                <w:lang w:val="en-US"/>
              </w:rPr>
              <w:t>1.6</w:t>
            </w:r>
          </w:p>
        </w:tc>
        <w:tc>
          <w:tcPr>
            <w:tcW w:w="2239" w:type="dxa"/>
            <w:vAlign w:val="center"/>
          </w:tcPr>
          <w:p>
            <w:pPr>
              <w:spacing w:before="60" w:after="60" w:line="276" w:lineRule="auto"/>
              <w:jc w:val="left"/>
              <w:rPr>
                <w:lang w:val="en-US"/>
              </w:rPr>
            </w:pPr>
            <w:r>
              <w:rPr>
                <w:lang w:val="en-US"/>
              </w:rPr>
              <w:t>N/A</w:t>
            </w:r>
          </w:p>
        </w:tc>
      </w:tr>
      <w:tr>
        <w:trPr>
          <w:trHeight w:val="80"/>
          <w:jc w:val="center"/>
        </w:trPr>
        <w:tc>
          <w:tcPr>
            <w:tcW w:w="4541" w:type="dxa"/>
            <w:shd w:val="clear" w:color="auto" w:fill="E7E6E6"/>
          </w:tcPr>
          <w:p>
            <w:pPr>
              <w:tabs>
                <w:tab w:val="left" w:pos="457"/>
              </w:tabs>
              <w:spacing w:before="60" w:after="60" w:line="276" w:lineRule="auto"/>
              <w:rPr>
                <w:lang w:val="en-US"/>
              </w:rPr>
            </w:pPr>
          </w:p>
        </w:tc>
        <w:tc>
          <w:tcPr>
            <w:tcW w:w="2565" w:type="dxa"/>
            <w:shd w:val="clear" w:color="auto" w:fill="E7E6E6"/>
          </w:tcPr>
          <w:p>
            <w:pPr>
              <w:spacing w:before="60" w:after="60" w:line="276" w:lineRule="auto"/>
              <w:jc w:val="left"/>
              <w:rPr>
                <w:lang w:val="en-US"/>
              </w:rPr>
            </w:pPr>
          </w:p>
        </w:tc>
        <w:tc>
          <w:tcPr>
            <w:tcW w:w="2239" w:type="dxa"/>
            <w:shd w:val="clear" w:color="auto" w:fill="E7E6E6"/>
          </w:tcPr>
          <w:p>
            <w:pPr>
              <w:spacing w:before="60" w:after="60" w:line="276" w:lineRule="auto"/>
              <w:jc w:val="left"/>
              <w:rPr>
                <w:lang w:val="en-US"/>
              </w:rPr>
            </w:pPr>
          </w:p>
        </w:tc>
      </w:tr>
      <w:tr>
        <w:trPr>
          <w:jc w:val="center"/>
        </w:trPr>
        <w:tc>
          <w:tcPr>
            <w:tcW w:w="4541" w:type="dxa"/>
          </w:tcPr>
          <w:p>
            <w:pPr>
              <w:tabs>
                <w:tab w:val="left" w:pos="457"/>
              </w:tabs>
              <w:spacing w:before="60" w:after="60" w:line="276" w:lineRule="auto"/>
              <w:rPr>
                <w:lang w:val="en-US"/>
              </w:rPr>
            </w:pPr>
            <w:r>
              <w:rPr>
                <w:lang w:val="en-US"/>
              </w:rPr>
              <w:t>Polish Swiss Program for Development of Towns (DoT) – SECO financed</w:t>
            </w:r>
          </w:p>
        </w:tc>
        <w:tc>
          <w:tcPr>
            <w:tcW w:w="2565" w:type="dxa"/>
          </w:tcPr>
          <w:p>
            <w:pPr>
              <w:spacing w:before="60" w:after="60" w:line="276" w:lineRule="auto"/>
              <w:jc w:val="left"/>
              <w:rPr>
                <w:lang w:val="en-US"/>
              </w:rPr>
            </w:pPr>
            <w:r>
              <w:rPr>
                <w:lang w:val="en-US"/>
              </w:rPr>
              <w:t xml:space="preserve">177.7 </w:t>
            </w:r>
          </w:p>
        </w:tc>
        <w:tc>
          <w:tcPr>
            <w:tcW w:w="2239" w:type="dxa"/>
            <w:vMerge w:val="restart"/>
            <w:vAlign w:val="center"/>
          </w:tcPr>
          <w:p>
            <w:pPr>
              <w:spacing w:before="60" w:after="60" w:line="276" w:lineRule="auto"/>
              <w:jc w:val="left"/>
              <w:rPr>
                <w:lang w:val="en-US"/>
              </w:rPr>
            </w:pPr>
            <w:r>
              <w:rPr>
                <w:lang w:val="en-US"/>
              </w:rPr>
              <w:t>49.182</w:t>
            </w:r>
          </w:p>
          <w:p>
            <w:pPr>
              <w:spacing w:before="60" w:after="60" w:line="276" w:lineRule="auto"/>
              <w:jc w:val="left"/>
              <w:rPr>
                <w:lang w:val="en-US"/>
              </w:rPr>
            </w:pPr>
            <w:r>
              <w:rPr>
                <w:lang w:val="en-US"/>
              </w:rPr>
              <w:t xml:space="preserve">(15%  at overall DoT Programme level) </w:t>
            </w:r>
          </w:p>
        </w:tc>
      </w:tr>
      <w:tr>
        <w:trPr>
          <w:jc w:val="center"/>
        </w:trPr>
        <w:tc>
          <w:tcPr>
            <w:tcW w:w="4541" w:type="dxa"/>
          </w:tcPr>
          <w:p>
            <w:pPr>
              <w:tabs>
                <w:tab w:val="left" w:pos="457"/>
              </w:tabs>
              <w:spacing w:before="60" w:after="60" w:line="276" w:lineRule="auto"/>
              <w:rPr>
                <w:lang w:val="en-US"/>
              </w:rPr>
            </w:pPr>
            <w:r>
              <w:rPr>
                <w:lang w:val="en-US"/>
              </w:rPr>
              <w:t>Polish Swiss Program for Development of Towns (DoT) – SDC financed</w:t>
            </w:r>
          </w:p>
        </w:tc>
        <w:tc>
          <w:tcPr>
            <w:tcW w:w="2565" w:type="dxa"/>
          </w:tcPr>
          <w:p>
            <w:pPr>
              <w:spacing w:before="60" w:after="60" w:line="276" w:lineRule="auto"/>
              <w:jc w:val="left"/>
              <w:rPr>
                <w:lang w:val="en-US"/>
              </w:rPr>
            </w:pPr>
            <w:r>
              <w:rPr>
                <w:rFonts w:cs="Arial"/>
                <w:lang w:val="en-US" w:eastAsia="de-CH"/>
              </w:rPr>
              <w:t>101</w:t>
            </w:r>
          </w:p>
        </w:tc>
        <w:tc>
          <w:tcPr>
            <w:tcW w:w="2239" w:type="dxa"/>
            <w:vMerge/>
          </w:tcPr>
          <w:p>
            <w:pPr>
              <w:spacing w:before="60" w:after="60" w:line="276" w:lineRule="auto"/>
              <w:jc w:val="left"/>
              <w:rPr>
                <w:lang w:val="en-US"/>
              </w:rPr>
            </w:pPr>
          </w:p>
        </w:tc>
      </w:tr>
      <w:tr>
        <w:trPr>
          <w:trHeight w:hRule="exact" w:val="567"/>
          <w:jc w:val="center"/>
        </w:trPr>
        <w:tc>
          <w:tcPr>
            <w:tcW w:w="4541" w:type="dxa"/>
            <w:shd w:val="clear" w:color="auto" w:fill="F2F2F2"/>
            <w:vAlign w:val="center"/>
          </w:tcPr>
          <w:p>
            <w:pPr>
              <w:tabs>
                <w:tab w:val="left" w:pos="458"/>
              </w:tabs>
              <w:spacing w:before="60" w:after="60" w:line="276" w:lineRule="auto"/>
            </w:pPr>
            <w:r>
              <w:t>Total Allocation</w:t>
            </w:r>
          </w:p>
        </w:tc>
        <w:tc>
          <w:tcPr>
            <w:tcW w:w="2565" w:type="dxa"/>
            <w:shd w:val="clear" w:color="auto" w:fill="F2F2F2"/>
            <w:vAlign w:val="center"/>
          </w:tcPr>
          <w:p>
            <w:pPr>
              <w:spacing w:before="60" w:after="60" w:line="276" w:lineRule="auto"/>
              <w:jc w:val="left"/>
              <w:rPr>
                <w:lang w:val="en-US"/>
              </w:rPr>
            </w:pPr>
            <w:r>
              <w:rPr>
                <w:lang w:val="en-US"/>
              </w:rPr>
              <w:t>320.1</w:t>
            </w:r>
          </w:p>
        </w:tc>
        <w:tc>
          <w:tcPr>
            <w:tcW w:w="2239" w:type="dxa"/>
            <w:shd w:val="clear" w:color="auto" w:fill="F2F2F2"/>
          </w:tcPr>
          <w:p>
            <w:pPr>
              <w:spacing w:before="60" w:after="60" w:line="276" w:lineRule="auto"/>
              <w:jc w:val="left"/>
              <w:rPr>
                <w:lang w:val="en-US"/>
              </w:rPr>
            </w:pPr>
            <w:r>
              <w:rPr>
                <w:lang w:val="en-US"/>
              </w:rPr>
              <w:t>55.358</w:t>
            </w:r>
          </w:p>
        </w:tc>
      </w:tr>
    </w:tbl>
    <w:p>
      <w:pPr>
        <w:spacing w:before="0" w:line="240" w:lineRule="auto"/>
        <w:rPr>
          <w:lang w:val="en-US"/>
        </w:rPr>
      </w:pPr>
    </w:p>
    <w:p>
      <w:pPr>
        <w:spacing w:before="0" w:line="240" w:lineRule="auto"/>
        <w:rPr>
          <w:lang w:val="en-US"/>
        </w:rPr>
      </w:pPr>
      <w:r>
        <w:t xml:space="preserve">Any unused balances in all the Support Measures of the Swiss-Polish Cooperation Programme (including from the Technical Support Funds) may be transferred to any </w:t>
      </w:r>
      <w:r>
        <w:lastRenderedPageBreak/>
        <w:t xml:space="preserve">other approved Support Measure, provided the feasibility is ensured until the end of the eligibility period, by mutual agreement (e.g. confirmed in the minutes of meetings or by correspondence) between the competent authorities mentioned in Article 6 of the Framework Agreement in the course of the implementation of the Swiss-Polish Cooperation Programme. For the consequent modification of the Support Measure, Article 4.12 of the Regulations shall apply. </w:t>
      </w:r>
    </w:p>
    <w:p>
      <w:pPr>
        <w:pStyle w:val="Paragraphedeliste"/>
        <w:numPr>
          <w:ilvl w:val="1"/>
          <w:numId w:val="26"/>
        </w:numPr>
        <w:spacing w:before="240" w:line="240" w:lineRule="auto"/>
        <w:ind w:left="567" w:hanging="567"/>
        <w:rPr>
          <w:b/>
          <w:lang w:val="en-US"/>
        </w:rPr>
      </w:pPr>
      <w:r>
        <w:rPr>
          <w:b/>
          <w:lang w:val="en-US"/>
        </w:rPr>
        <w:t>Geographical allocation</w:t>
      </w:r>
    </w:p>
    <w:p>
      <w:pPr>
        <w:spacing w:before="0" w:line="240" w:lineRule="auto"/>
        <w:rPr>
          <w:lang w:val="en-US"/>
        </w:rPr>
      </w:pPr>
      <w:r>
        <w:rPr>
          <w:lang w:val="en-US"/>
        </w:rPr>
        <w:t>According to Art. 2.7 of the Regulations the less-favored regions shall receive at least 50% of the Contribution. As indicated in the below table, regions from point 1 to point 14 are selected as focus-regions (all NUTS 2 regions with gross domestic product per capita expressed in purchasing power standards, that lies below PL average, based on the initial data of Eurostat for the year 2020).</w:t>
      </w:r>
    </w:p>
    <w:p>
      <w:pPr>
        <w:spacing w:before="0" w:line="240" w:lineRule="auto"/>
        <w:rPr>
          <w:lang w:val="en-US"/>
        </w:rPr>
      </w:pPr>
      <w:r>
        <w:rPr>
          <w:lang w:val="en-US"/>
        </w:rPr>
        <w:t xml:space="preserve">The geographic allocation will be ensured through the DoT Program. </w:t>
      </w:r>
    </w:p>
    <w:tbl>
      <w:tblPr>
        <w:tblW w:w="463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534"/>
        <w:gridCol w:w="1101"/>
      </w:tblGrid>
      <w:tr>
        <w:trPr>
          <w:trHeight w:val="300"/>
        </w:trPr>
        <w:tc>
          <w:tcPr>
            <w:tcW w:w="3534" w:type="dxa"/>
            <w:shd w:val="clear" w:color="auto" w:fill="auto"/>
            <w:noWrap/>
            <w:vAlign w:val="center"/>
          </w:tcPr>
          <w:p>
            <w:pPr>
              <w:spacing w:before="0" w:after="0" w:line="240" w:lineRule="auto"/>
              <w:rPr>
                <w:rFonts w:cs="Arial"/>
                <w:color w:val="000000"/>
                <w:lang w:val="it-CH" w:eastAsia="pl-PL"/>
              </w:rPr>
            </w:pPr>
            <w:r>
              <w:rPr>
                <w:lang w:val="it-CH"/>
              </w:rPr>
              <w:t>GDP per capita in PPS</w:t>
            </w:r>
          </w:p>
        </w:tc>
        <w:tc>
          <w:tcPr>
            <w:tcW w:w="1101" w:type="dxa"/>
            <w:shd w:val="clear" w:color="auto" w:fill="auto"/>
            <w:noWrap/>
            <w:vAlign w:val="center"/>
          </w:tcPr>
          <w:p>
            <w:pPr>
              <w:spacing w:before="0" w:after="0" w:line="240" w:lineRule="auto"/>
              <w:rPr>
                <w:rFonts w:cs="Arial"/>
                <w:color w:val="000000"/>
                <w:lang w:eastAsia="pl-PL"/>
              </w:rPr>
            </w:pPr>
            <w:r>
              <w:rPr>
                <w:rFonts w:cs="Arial"/>
                <w:color w:val="000000"/>
                <w:lang w:eastAsia="pl-PL"/>
              </w:rPr>
              <w:t>PL=100%</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lang w:val="pl-PL" w:eastAsia="pl-PL"/>
              </w:rPr>
            </w:pPr>
            <w:r>
              <w:rPr>
                <w:rFonts w:cs="Arial"/>
                <w:color w:val="000000"/>
                <w:lang w:val="pl-PL" w:eastAsia="pl-PL"/>
              </w:rPr>
              <w:t>Małopolskie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92%</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lang w:val="pl-PL" w:eastAsia="pl-PL"/>
              </w:rPr>
            </w:pPr>
            <w:r>
              <w:rPr>
                <w:rFonts w:cs="Arial"/>
                <w:color w:val="000000"/>
                <w:lang w:val="pl-PL" w:eastAsia="pl-PL"/>
              </w:rPr>
              <w:t>Śląskie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99%</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Zachodniopomorskie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84%</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Lubuskie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81%</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Opolskie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79%</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Kujawsko-Pomorskie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82%</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lang w:val="pl-PL" w:eastAsia="pl-PL"/>
              </w:rPr>
            </w:pPr>
            <w:r>
              <w:rPr>
                <w:rFonts w:cs="Arial"/>
                <w:color w:val="000000"/>
                <w:lang w:val="pl-PL" w:eastAsia="pl-PL"/>
              </w:rPr>
              <w:t>Warmińsko-Mazurskie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70%</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Pomorskie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95%</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lang w:val="pl-PL" w:eastAsia="pl-PL"/>
              </w:rPr>
            </w:pPr>
            <w:r>
              <w:rPr>
                <w:rFonts w:cs="Arial"/>
                <w:color w:val="000000"/>
                <w:lang w:val="pl-PL" w:eastAsia="pl-PL"/>
              </w:rPr>
              <w:t>Łódzkie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97%</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lang w:val="pl-PL" w:eastAsia="pl-PL"/>
              </w:rPr>
            </w:pPr>
            <w:r>
              <w:rPr>
                <w:rFonts w:cs="Arial"/>
                <w:color w:val="000000"/>
                <w:lang w:val="pl-PL" w:eastAsia="pl-PL"/>
              </w:rPr>
              <w:t>Świętokrzyskie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72%</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Lubelskie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68%</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Podkarpackie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69%</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Podlaskie</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73%</w:t>
            </w:r>
          </w:p>
        </w:tc>
      </w:tr>
      <w:tr>
        <w:trPr>
          <w:trHeight w:val="300"/>
        </w:trPr>
        <w:tc>
          <w:tcPr>
            <w:tcW w:w="3534" w:type="dxa"/>
            <w:shd w:val="clear" w:color="auto" w:fill="auto"/>
            <w:noWrap/>
            <w:vAlign w:val="center"/>
            <w:hideMark/>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Mazowiecki regionalny</w:t>
            </w:r>
          </w:p>
        </w:tc>
        <w:tc>
          <w:tcPr>
            <w:tcW w:w="1101" w:type="dxa"/>
            <w:shd w:val="clear" w:color="auto" w:fill="auto"/>
            <w:noWrap/>
            <w:vAlign w:val="center"/>
            <w:hideMark/>
          </w:tcPr>
          <w:p>
            <w:pPr>
              <w:spacing w:before="0" w:after="0" w:line="240" w:lineRule="auto"/>
              <w:rPr>
                <w:rFonts w:cs="Arial"/>
                <w:color w:val="000000"/>
                <w:szCs w:val="22"/>
                <w:lang w:val="pl-PL" w:eastAsia="pl-PL"/>
              </w:rPr>
            </w:pPr>
            <w:r>
              <w:rPr>
                <w:rFonts w:cs="Arial"/>
                <w:color w:val="000000"/>
                <w:szCs w:val="22"/>
                <w:lang w:val="pl-PL" w:eastAsia="pl-PL"/>
              </w:rPr>
              <w:t>85%</w:t>
            </w:r>
          </w:p>
        </w:tc>
      </w:tr>
      <w:tr>
        <w:trPr>
          <w:trHeight w:val="300"/>
        </w:trPr>
        <w:tc>
          <w:tcPr>
            <w:tcW w:w="3534" w:type="dxa"/>
            <w:shd w:val="clear" w:color="auto" w:fill="auto"/>
            <w:noWrap/>
            <w:vAlign w:val="center"/>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Wielkopolskie</w:t>
            </w:r>
          </w:p>
        </w:tc>
        <w:tc>
          <w:tcPr>
            <w:tcW w:w="1101" w:type="dxa"/>
            <w:shd w:val="clear" w:color="auto" w:fill="auto"/>
            <w:noWrap/>
            <w:vAlign w:val="center"/>
          </w:tcPr>
          <w:p>
            <w:pPr>
              <w:spacing w:before="0" w:after="0" w:line="240" w:lineRule="auto"/>
              <w:rPr>
                <w:rFonts w:cs="Arial"/>
                <w:color w:val="000000"/>
                <w:szCs w:val="22"/>
                <w:lang w:val="pl-PL" w:eastAsia="pl-PL"/>
              </w:rPr>
            </w:pPr>
            <w:r>
              <w:rPr>
                <w:rFonts w:cs="Arial"/>
                <w:color w:val="000000"/>
                <w:szCs w:val="22"/>
                <w:lang w:val="pl-PL" w:eastAsia="pl-PL"/>
              </w:rPr>
              <w:t>109%</w:t>
            </w:r>
          </w:p>
        </w:tc>
      </w:tr>
      <w:tr>
        <w:trPr>
          <w:trHeight w:val="300"/>
        </w:trPr>
        <w:tc>
          <w:tcPr>
            <w:tcW w:w="3534" w:type="dxa"/>
            <w:shd w:val="clear" w:color="auto" w:fill="auto"/>
            <w:noWrap/>
            <w:vAlign w:val="center"/>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Dolnośląskie</w:t>
            </w:r>
          </w:p>
        </w:tc>
        <w:tc>
          <w:tcPr>
            <w:tcW w:w="1101" w:type="dxa"/>
            <w:shd w:val="clear" w:color="auto" w:fill="auto"/>
            <w:noWrap/>
            <w:vAlign w:val="center"/>
          </w:tcPr>
          <w:p>
            <w:pPr>
              <w:spacing w:before="0" w:after="0" w:line="240" w:lineRule="auto"/>
              <w:rPr>
                <w:rFonts w:cs="Arial"/>
                <w:color w:val="000000"/>
                <w:szCs w:val="22"/>
                <w:lang w:val="pl-PL" w:eastAsia="pl-PL"/>
              </w:rPr>
            </w:pPr>
            <w:r>
              <w:rPr>
                <w:rFonts w:cs="Arial"/>
                <w:color w:val="000000"/>
                <w:szCs w:val="22"/>
                <w:lang w:val="pl-PL" w:eastAsia="pl-PL"/>
              </w:rPr>
              <w:t>111%</w:t>
            </w:r>
          </w:p>
        </w:tc>
      </w:tr>
      <w:tr>
        <w:trPr>
          <w:trHeight w:val="300"/>
        </w:trPr>
        <w:tc>
          <w:tcPr>
            <w:tcW w:w="3534" w:type="dxa"/>
            <w:shd w:val="clear" w:color="auto" w:fill="auto"/>
            <w:noWrap/>
            <w:vAlign w:val="center"/>
          </w:tcPr>
          <w:p>
            <w:pPr>
              <w:numPr>
                <w:ilvl w:val="0"/>
                <w:numId w:val="31"/>
              </w:numPr>
              <w:spacing w:before="0" w:after="0" w:line="240" w:lineRule="auto"/>
              <w:rPr>
                <w:rFonts w:cs="Arial"/>
                <w:color w:val="000000"/>
                <w:szCs w:val="22"/>
                <w:lang w:val="pl-PL" w:eastAsia="pl-PL"/>
              </w:rPr>
            </w:pPr>
            <w:r>
              <w:rPr>
                <w:rFonts w:cs="Arial"/>
                <w:color w:val="000000"/>
                <w:szCs w:val="22"/>
                <w:lang w:val="pl-PL" w:eastAsia="pl-PL"/>
              </w:rPr>
              <w:t>Warszawski - Stołeczny</w:t>
            </w:r>
          </w:p>
        </w:tc>
        <w:tc>
          <w:tcPr>
            <w:tcW w:w="1101" w:type="dxa"/>
            <w:shd w:val="clear" w:color="auto" w:fill="auto"/>
            <w:noWrap/>
            <w:vAlign w:val="center"/>
          </w:tcPr>
          <w:p>
            <w:pPr>
              <w:spacing w:before="0" w:after="0" w:line="240" w:lineRule="auto"/>
              <w:rPr>
                <w:rFonts w:cs="Arial"/>
                <w:color w:val="000000"/>
                <w:szCs w:val="22"/>
                <w:lang w:val="pl-PL" w:eastAsia="pl-PL"/>
              </w:rPr>
            </w:pPr>
            <w:r>
              <w:rPr>
                <w:rFonts w:cs="Arial"/>
                <w:color w:val="000000"/>
                <w:szCs w:val="22"/>
                <w:lang w:val="pl-PL" w:eastAsia="pl-PL"/>
              </w:rPr>
              <w:t>220%</w:t>
            </w:r>
          </w:p>
        </w:tc>
      </w:tr>
    </w:tbl>
    <w:p>
      <w:pPr>
        <w:pStyle w:val="Paragraphedeliste"/>
        <w:spacing w:before="240" w:line="240" w:lineRule="auto"/>
        <w:ind w:left="567"/>
        <w:rPr>
          <w:b/>
          <w:lang w:val="en-US"/>
        </w:rPr>
      </w:pPr>
    </w:p>
    <w:p>
      <w:pPr>
        <w:spacing w:before="0" w:after="0" w:line="240" w:lineRule="auto"/>
        <w:jc w:val="left"/>
        <w:rPr>
          <w:b/>
          <w:lang w:val="en-US"/>
        </w:rPr>
      </w:pPr>
      <w:r>
        <w:rPr>
          <w:b/>
          <w:lang w:val="en-US"/>
        </w:rPr>
        <w:br w:type="page"/>
      </w:r>
    </w:p>
    <w:p>
      <w:pPr>
        <w:pStyle w:val="Paragraphedeliste"/>
        <w:numPr>
          <w:ilvl w:val="1"/>
          <w:numId w:val="26"/>
        </w:numPr>
        <w:spacing w:before="240" w:line="240" w:lineRule="auto"/>
        <w:ind w:left="567" w:hanging="567"/>
        <w:rPr>
          <w:b/>
          <w:lang w:val="en-US"/>
        </w:rPr>
      </w:pPr>
      <w:r>
        <w:rPr>
          <w:b/>
          <w:lang w:val="en-US"/>
        </w:rPr>
        <w:lastRenderedPageBreak/>
        <w:t>Pre-identified Support Measure</w:t>
      </w:r>
    </w:p>
    <w:p>
      <w:pPr>
        <w:numPr>
          <w:ilvl w:val="0"/>
          <w:numId w:val="27"/>
        </w:numPr>
        <w:spacing w:before="0" w:after="0" w:line="240" w:lineRule="auto"/>
        <w:rPr>
          <w:b/>
          <w:lang w:val="en-US"/>
        </w:rPr>
      </w:pPr>
      <w:r>
        <w:rPr>
          <w:b/>
        </w:rPr>
        <w:t>Polish Swiss Programme for Development of Towns (DoT)</w:t>
      </w:r>
    </w:p>
    <w:p>
      <w:pPr>
        <w:spacing w:before="0" w:after="0" w:line="240" w:lineRule="auto"/>
        <w:ind w:left="360"/>
        <w:rPr>
          <w:b/>
          <w:lang w:val="en-US"/>
        </w:rPr>
      </w:pPr>
    </w:p>
    <w:tbl>
      <w:tblPr>
        <w:tblStyle w:val="Tabela-Siatka1"/>
        <w:tblW w:w="0" w:type="auto"/>
        <w:tblLook w:val="04A0" w:firstRow="1" w:lastRow="0" w:firstColumn="1" w:lastColumn="0" w:noHBand="0" w:noVBand="1"/>
      </w:tblPr>
      <w:tblGrid>
        <w:gridCol w:w="3421"/>
        <w:gridCol w:w="5073"/>
      </w:tblGrid>
      <w:tr>
        <w:tc>
          <w:tcPr>
            <w:tcW w:w="3680" w:type="dxa"/>
            <w:shd w:val="clear" w:color="auto" w:fill="D9D9D9"/>
          </w:tcPr>
          <w:p>
            <w:pPr>
              <w:spacing w:line="276" w:lineRule="auto"/>
              <w:rPr>
                <w:lang w:val="en-US"/>
              </w:rPr>
            </w:pPr>
            <w:r>
              <w:rPr>
                <w:lang w:val="en-US"/>
              </w:rPr>
              <w:t>Support Measure name</w:t>
            </w:r>
          </w:p>
        </w:tc>
        <w:tc>
          <w:tcPr>
            <w:tcW w:w="5382" w:type="dxa"/>
          </w:tcPr>
          <w:p>
            <w:pPr>
              <w:spacing w:line="276" w:lineRule="auto"/>
              <w:rPr>
                <w:lang w:val="en-US"/>
              </w:rPr>
            </w:pPr>
            <w:r>
              <w:t>Polish Swiss Programme for Development of Towns (DoT)</w:t>
            </w:r>
          </w:p>
        </w:tc>
      </w:tr>
      <w:tr>
        <w:tc>
          <w:tcPr>
            <w:tcW w:w="3680" w:type="dxa"/>
            <w:shd w:val="clear" w:color="auto" w:fill="D9D9D9"/>
          </w:tcPr>
          <w:p>
            <w:pPr>
              <w:spacing w:line="276" w:lineRule="auto"/>
              <w:rPr>
                <w:lang w:val="en-US"/>
              </w:rPr>
            </w:pPr>
            <w:r>
              <w:rPr>
                <w:lang w:val="en-US"/>
              </w:rPr>
              <w:t>Support Measure type</w:t>
            </w:r>
          </w:p>
        </w:tc>
        <w:tc>
          <w:tcPr>
            <w:tcW w:w="5382" w:type="dxa"/>
          </w:tcPr>
          <w:p>
            <w:pPr>
              <w:spacing w:line="276" w:lineRule="auto"/>
              <w:rPr>
                <w:lang w:val="en-US"/>
              </w:rPr>
            </w:pPr>
            <w:r>
              <w:rPr>
                <w:lang w:val="en-US"/>
              </w:rPr>
              <w:t>Programme</w:t>
            </w:r>
          </w:p>
        </w:tc>
      </w:tr>
      <w:tr>
        <w:tc>
          <w:tcPr>
            <w:tcW w:w="3680" w:type="dxa"/>
            <w:shd w:val="clear" w:color="auto" w:fill="D9D9D9"/>
          </w:tcPr>
          <w:p>
            <w:pPr>
              <w:spacing w:line="276" w:lineRule="auto"/>
              <w:rPr>
                <w:lang w:val="en-US"/>
              </w:rPr>
            </w:pPr>
            <w:r>
              <w:rPr>
                <w:lang w:val="en-US"/>
              </w:rPr>
              <w:t>Objectives</w:t>
            </w:r>
          </w:p>
        </w:tc>
        <w:tc>
          <w:tcPr>
            <w:tcW w:w="5382" w:type="dxa"/>
          </w:tcPr>
          <w:p>
            <w:pPr>
              <w:spacing w:line="240" w:lineRule="auto"/>
              <w:rPr>
                <w:lang w:val="en-US"/>
              </w:rPr>
            </w:pPr>
            <w:r>
              <w:rPr>
                <w:lang w:val="en-US"/>
              </w:rPr>
              <w:t>The objective of the Programme is to contribute to the reduction of economic and social disparities within Poland by increasing the quality of life of citizens living in small and medium-sized towns through developing the cities’ capacity for strategic planning and improving living conditions via targeted investments.</w:t>
            </w:r>
          </w:p>
          <w:p>
            <w:pPr>
              <w:spacing w:line="240" w:lineRule="auto"/>
              <w:rPr>
                <w:lang w:val="en-US"/>
              </w:rPr>
            </w:pPr>
            <w:r>
              <w:rPr>
                <w:lang w:val="en-US"/>
              </w:rPr>
              <w:t xml:space="preserve">These objectives will be realized through funding activities, which constitute individual response to the identified challenges in different dimensions of the town that serve fulfilling the needs of its inhabitants. Funding activities should as well cover aspects such as transparency, citizen participation, and good governance and accountability.  </w:t>
            </w:r>
          </w:p>
        </w:tc>
      </w:tr>
      <w:tr>
        <w:tc>
          <w:tcPr>
            <w:tcW w:w="3680" w:type="dxa"/>
            <w:shd w:val="clear" w:color="auto" w:fill="D9D9D9"/>
          </w:tcPr>
          <w:p>
            <w:pPr>
              <w:spacing w:line="276" w:lineRule="auto"/>
              <w:rPr>
                <w:lang w:val="en-US"/>
              </w:rPr>
            </w:pPr>
            <w:r>
              <w:rPr>
                <w:lang w:val="en-US"/>
              </w:rPr>
              <w:t>Strategic Focus</w:t>
            </w:r>
          </w:p>
        </w:tc>
        <w:tc>
          <w:tcPr>
            <w:tcW w:w="5382" w:type="dxa"/>
          </w:tcPr>
          <w:p>
            <w:pPr>
              <w:spacing w:line="240" w:lineRule="auto"/>
              <w:rPr>
                <w:lang w:val="en-US"/>
              </w:rPr>
            </w:pPr>
            <w:r>
              <w:rPr>
                <w:lang w:val="en-US"/>
              </w:rPr>
              <w:t xml:space="preserve">Programme of dedicated support to ca. 15 small and medium-sized cities that are at risk of losing socio-economic functions; to combine the biggest possible impact by answering to and covering well defined needs in different areas of the individual city. The Programme Component for each city needs to have a clear strategy, willingness to systemic change, institutional capacity, substantial volume and convincing objectives. </w:t>
            </w:r>
          </w:p>
        </w:tc>
      </w:tr>
      <w:tr>
        <w:tc>
          <w:tcPr>
            <w:tcW w:w="3680" w:type="dxa"/>
            <w:shd w:val="clear" w:color="auto" w:fill="D9D9D9"/>
          </w:tcPr>
          <w:p>
            <w:pPr>
              <w:spacing w:line="276" w:lineRule="auto"/>
              <w:rPr>
                <w:lang w:val="en-US"/>
              </w:rPr>
            </w:pPr>
            <w:r>
              <w:rPr>
                <w:lang w:val="en-US"/>
              </w:rPr>
              <w:t>Swiss indicative Commitment</w:t>
            </w:r>
          </w:p>
        </w:tc>
        <w:tc>
          <w:tcPr>
            <w:tcW w:w="5382" w:type="dxa"/>
          </w:tcPr>
          <w:p>
            <w:pPr>
              <w:spacing w:line="276" w:lineRule="auto"/>
              <w:rPr>
                <w:i/>
                <w:iCs/>
                <w:lang w:val="en-US"/>
              </w:rPr>
            </w:pPr>
            <w:r>
              <w:rPr>
                <w:rFonts w:cs="Arial"/>
                <w:lang w:val="en-US"/>
              </w:rPr>
              <w:t xml:space="preserve">CHF </w:t>
            </w:r>
            <w:r>
              <w:rPr>
                <w:rFonts w:cs="Arial"/>
                <w:lang w:val="en-US" w:eastAsia="de-CH"/>
              </w:rPr>
              <w:t>278.7</w:t>
            </w:r>
            <w:r>
              <w:rPr>
                <w:rFonts w:cs="Arial"/>
                <w:lang w:val="en-US"/>
              </w:rPr>
              <w:t xml:space="preserve"> million</w:t>
            </w:r>
          </w:p>
        </w:tc>
      </w:tr>
      <w:tr>
        <w:tc>
          <w:tcPr>
            <w:tcW w:w="3680" w:type="dxa"/>
            <w:shd w:val="clear" w:color="auto" w:fill="D9D9D9"/>
          </w:tcPr>
          <w:p>
            <w:pPr>
              <w:spacing w:line="276" w:lineRule="auto"/>
              <w:rPr>
                <w:lang w:val="en-US"/>
              </w:rPr>
            </w:pPr>
            <w:r>
              <w:rPr>
                <w:lang w:val="en-US"/>
              </w:rPr>
              <w:t>Thematic areas</w:t>
            </w:r>
          </w:p>
        </w:tc>
        <w:tc>
          <w:tcPr>
            <w:tcW w:w="5382" w:type="dxa"/>
          </w:tcPr>
          <w:p>
            <w:pPr>
              <w:spacing w:line="240" w:lineRule="auto"/>
              <w:rPr>
                <w:rFonts w:cs="Arial"/>
              </w:rPr>
            </w:pPr>
            <w:r>
              <w:rPr>
                <w:rFonts w:cs="Arial"/>
              </w:rPr>
              <w:t xml:space="preserve">The thematic areas for the DoT Programme will be chosen among the list defined in point 3.1 of this document. </w:t>
            </w:r>
          </w:p>
        </w:tc>
      </w:tr>
      <w:tr>
        <w:tc>
          <w:tcPr>
            <w:tcW w:w="3680" w:type="dxa"/>
            <w:shd w:val="clear" w:color="auto" w:fill="D9D9D9"/>
          </w:tcPr>
          <w:p>
            <w:pPr>
              <w:spacing w:line="276" w:lineRule="auto"/>
              <w:rPr>
                <w:lang w:val="en-US"/>
              </w:rPr>
            </w:pPr>
            <w:r>
              <w:rPr>
                <w:lang w:val="en-US"/>
              </w:rPr>
              <w:t>Programme Operator</w:t>
            </w:r>
          </w:p>
        </w:tc>
        <w:tc>
          <w:tcPr>
            <w:tcW w:w="5382" w:type="dxa"/>
          </w:tcPr>
          <w:p>
            <w:pPr>
              <w:spacing w:line="276" w:lineRule="auto"/>
              <w:rPr>
                <w:lang w:val="en-US"/>
              </w:rPr>
            </w:pPr>
            <w:r>
              <w:t xml:space="preserve">The Minister of Development Funds and Regional Policy </w:t>
            </w:r>
            <w:r>
              <w:rPr>
                <w:lang w:val="en-US"/>
              </w:rPr>
              <w:t>– the NCU</w:t>
            </w:r>
            <w:r>
              <w:t xml:space="preserve"> </w:t>
            </w:r>
            <w:r>
              <w:rPr>
                <w:lang w:val="en-US"/>
              </w:rPr>
              <w:t xml:space="preserve">– is </w:t>
            </w:r>
            <w:r>
              <w:t>the Programme Operator</w:t>
            </w:r>
            <w:r>
              <w:rPr>
                <w:lang w:val="en-US"/>
              </w:rPr>
              <w:t>.</w:t>
            </w:r>
          </w:p>
        </w:tc>
      </w:tr>
      <w:tr>
        <w:tc>
          <w:tcPr>
            <w:tcW w:w="3680" w:type="dxa"/>
            <w:shd w:val="clear" w:color="auto" w:fill="D9D9D9"/>
          </w:tcPr>
          <w:p>
            <w:pPr>
              <w:spacing w:line="276" w:lineRule="auto"/>
              <w:rPr>
                <w:lang w:val="en-US"/>
              </w:rPr>
            </w:pPr>
            <w:r>
              <w:rPr>
                <w:lang w:val="en-US"/>
              </w:rPr>
              <w:t>Swiss Support Measure Partner</w:t>
            </w:r>
          </w:p>
        </w:tc>
        <w:tc>
          <w:tcPr>
            <w:tcW w:w="5382" w:type="dxa"/>
          </w:tcPr>
          <w:p>
            <w:pPr>
              <w:spacing w:line="276" w:lineRule="auto"/>
              <w:rPr>
                <w:lang w:val="en-US"/>
              </w:rPr>
            </w:pPr>
            <w:r>
              <w:rPr>
                <w:rFonts w:cs="Arial"/>
                <w:szCs w:val="22"/>
                <w:lang w:val="en-US"/>
              </w:rPr>
              <w:t xml:space="preserve">The Swiss Support Measure Partner to act as specific counterpart for the Association of Polish Cities during the implementation of the pre-defined Programme Component (see further below) will be defined according to best suit thematic and organisational Programme needs. Selection will </w:t>
            </w:r>
            <w:r>
              <w:rPr>
                <w:rFonts w:cs="Arial"/>
                <w:szCs w:val="22"/>
                <w:lang w:val="en-US"/>
              </w:rPr>
              <w:lastRenderedPageBreak/>
              <w:t>take place in close consultation with NCU once the Programme details are further specified.</w:t>
            </w:r>
          </w:p>
        </w:tc>
      </w:tr>
      <w:tr>
        <w:trPr>
          <w:trHeight w:val="2682"/>
        </w:trPr>
        <w:tc>
          <w:tcPr>
            <w:tcW w:w="3680" w:type="dxa"/>
            <w:shd w:val="clear" w:color="auto" w:fill="D9D9D9"/>
          </w:tcPr>
          <w:p>
            <w:pPr>
              <w:spacing w:line="276" w:lineRule="auto"/>
              <w:rPr>
                <w:lang w:val="en-US"/>
              </w:rPr>
            </w:pPr>
            <w:r>
              <w:rPr>
                <w:lang w:val="en-US"/>
              </w:rPr>
              <w:lastRenderedPageBreak/>
              <w:t>Other specificities related to the Support Measure</w:t>
            </w:r>
          </w:p>
        </w:tc>
        <w:tc>
          <w:tcPr>
            <w:tcW w:w="5382" w:type="dxa"/>
          </w:tcPr>
          <w:p>
            <w:pPr>
              <w:spacing w:line="276" w:lineRule="auto"/>
              <w:rPr>
                <w:lang w:val="en-US"/>
              </w:rPr>
            </w:pPr>
            <w:r>
              <w:rPr>
                <w:lang w:val="en-US"/>
              </w:rPr>
              <w:t xml:space="preserve">The Support Measure Agreement and the Support Measure Proposal shall detail: </w:t>
            </w:r>
          </w:p>
          <w:p>
            <w:pPr>
              <w:numPr>
                <w:ilvl w:val="0"/>
                <w:numId w:val="28"/>
              </w:numPr>
              <w:spacing w:before="0" w:after="0" w:line="276" w:lineRule="auto"/>
              <w:rPr>
                <w:lang w:val="en-US"/>
              </w:rPr>
            </w:pPr>
            <w:r>
              <w:rPr>
                <w:lang w:val="en-US"/>
              </w:rPr>
              <w:t xml:space="preserve">The scheme, process and timing for the selection for the Programme Components (the beneficiary cities) and sub-components (activities/investments financed per cities), including the eligibility and the financial allocation criteria. </w:t>
            </w:r>
          </w:p>
          <w:p>
            <w:pPr>
              <w:numPr>
                <w:ilvl w:val="0"/>
                <w:numId w:val="28"/>
              </w:numPr>
              <w:spacing w:before="0" w:after="0" w:line="276" w:lineRule="auto"/>
            </w:pPr>
            <w:r>
              <w:t>Means to achieve the strengthening of bilateral relations between Switzerland and Poland will be defined in the Support Measure Agreement.</w:t>
            </w:r>
          </w:p>
          <w:p>
            <w:pPr>
              <w:numPr>
                <w:ilvl w:val="0"/>
                <w:numId w:val="28"/>
              </w:numPr>
              <w:spacing w:before="0" w:after="0" w:line="276" w:lineRule="auto"/>
              <w:rPr>
                <w:rFonts w:ascii="Calibri" w:eastAsia="Times New Roman" w:hAnsi="Calibri"/>
                <w:lang w:val="en-US"/>
              </w:rPr>
            </w:pPr>
            <w:r>
              <w:rPr>
                <w:rFonts w:cs="Arial"/>
                <w:lang w:val="en-US"/>
              </w:rPr>
              <w:t xml:space="preserve">The Programme Components (beneficiary cities) and sub-components (activities/investments financed per cities) are selected through call(s) for proposals by the Programme Operator after the conclusion of the Support Measure Agreement. </w:t>
            </w:r>
          </w:p>
          <w:p>
            <w:pPr>
              <w:numPr>
                <w:ilvl w:val="0"/>
                <w:numId w:val="28"/>
              </w:numPr>
              <w:spacing w:before="0" w:after="0" w:line="276" w:lineRule="auto"/>
              <w:rPr>
                <w:lang w:val="en-US"/>
              </w:rPr>
            </w:pPr>
            <w:r>
              <w:rPr>
                <w:lang w:val="en-US"/>
              </w:rPr>
              <w:t>The Programme will also include the pre-defined Programme Component operated by the Programme Component Operator – Association of Polish Cities (APC).</w:t>
            </w:r>
          </w:p>
          <w:p>
            <w:pPr>
              <w:numPr>
                <w:ilvl w:val="0"/>
                <w:numId w:val="28"/>
              </w:numPr>
              <w:spacing w:before="0" w:after="0" w:line="276" w:lineRule="auto"/>
              <w:rPr>
                <w:i/>
                <w:iCs/>
                <w:lang w:val="en-US"/>
              </w:rPr>
            </w:pPr>
            <w:r>
              <w:rPr>
                <w:rFonts w:cs="Arial"/>
                <w:lang w:val="en-US"/>
              </w:rPr>
              <w:t xml:space="preserve">The contracts between the NCU/ Programme Operator and the Programme Components Operators (beneficiary cities and APC) are concluded in PLN. The budget set in PLN at the Support Measure Proposal is indicative and the grant amount in CHF is binding. </w:t>
            </w:r>
          </w:p>
        </w:tc>
      </w:tr>
    </w:tbl>
    <w:p>
      <w:pPr>
        <w:spacing w:before="0" w:line="240" w:lineRule="auto"/>
        <w:rPr>
          <w:highlight w:val="yellow"/>
        </w:rPr>
      </w:pPr>
    </w:p>
    <w:p>
      <w:pPr>
        <w:numPr>
          <w:ilvl w:val="0"/>
          <w:numId w:val="27"/>
        </w:numPr>
        <w:spacing w:before="0" w:after="0" w:line="240" w:lineRule="auto"/>
        <w:rPr>
          <w:b/>
          <w:lang w:val="en-US"/>
        </w:rPr>
      </w:pPr>
      <w:r>
        <w:rPr>
          <w:b/>
          <w:lang w:val="en-US"/>
        </w:rPr>
        <w:t>Research and innovation</w:t>
      </w:r>
    </w:p>
    <w:p>
      <w:pPr>
        <w:spacing w:before="0" w:after="0" w:line="240" w:lineRule="auto"/>
        <w:rPr>
          <w:b/>
          <w:bCs/>
        </w:rPr>
      </w:pPr>
    </w:p>
    <w:tbl>
      <w:tblPr>
        <w:tblStyle w:val="Tabela-Siatka1"/>
        <w:tblW w:w="0" w:type="auto"/>
        <w:tblLook w:val="04A0" w:firstRow="1" w:lastRow="0" w:firstColumn="1" w:lastColumn="0" w:noHBand="0" w:noVBand="1"/>
      </w:tblPr>
      <w:tblGrid>
        <w:gridCol w:w="3454"/>
        <w:gridCol w:w="5040"/>
      </w:tblGrid>
      <w:tr>
        <w:tc>
          <w:tcPr>
            <w:tcW w:w="3680" w:type="dxa"/>
            <w:shd w:val="clear" w:color="auto" w:fill="D9D9D9"/>
          </w:tcPr>
          <w:p>
            <w:pPr>
              <w:spacing w:line="276" w:lineRule="auto"/>
            </w:pPr>
            <w:r>
              <w:t>Support Measure Name</w:t>
            </w:r>
          </w:p>
        </w:tc>
        <w:tc>
          <w:tcPr>
            <w:tcW w:w="5382" w:type="dxa"/>
          </w:tcPr>
          <w:p>
            <w:pPr>
              <w:spacing w:line="276" w:lineRule="auto"/>
              <w:rPr>
                <w:lang w:val="en-US"/>
              </w:rPr>
            </w:pPr>
            <w:r>
              <w:rPr>
                <w:lang w:val="en-US"/>
              </w:rPr>
              <w:t>Research and Innovation Programme</w:t>
            </w:r>
          </w:p>
        </w:tc>
      </w:tr>
      <w:tr>
        <w:tc>
          <w:tcPr>
            <w:tcW w:w="3680" w:type="dxa"/>
            <w:shd w:val="clear" w:color="auto" w:fill="D9D9D9"/>
          </w:tcPr>
          <w:p>
            <w:pPr>
              <w:spacing w:line="276" w:lineRule="auto"/>
            </w:pPr>
            <w:r>
              <w:t>Support Measure Type</w:t>
            </w:r>
          </w:p>
        </w:tc>
        <w:tc>
          <w:tcPr>
            <w:tcW w:w="5382" w:type="dxa"/>
          </w:tcPr>
          <w:p>
            <w:pPr>
              <w:spacing w:line="276" w:lineRule="auto"/>
              <w:rPr>
                <w:lang w:val="en-US"/>
              </w:rPr>
            </w:pPr>
            <w:r>
              <w:rPr>
                <w:lang w:val="en-US"/>
              </w:rPr>
              <w:t>Programme</w:t>
            </w:r>
          </w:p>
        </w:tc>
      </w:tr>
      <w:tr>
        <w:tc>
          <w:tcPr>
            <w:tcW w:w="3680" w:type="dxa"/>
            <w:shd w:val="clear" w:color="auto" w:fill="D9D9D9"/>
          </w:tcPr>
          <w:p>
            <w:pPr>
              <w:spacing w:line="276" w:lineRule="auto"/>
            </w:pPr>
            <w:r>
              <w:t>Objective</w:t>
            </w:r>
          </w:p>
        </w:tc>
        <w:tc>
          <w:tcPr>
            <w:tcW w:w="5382" w:type="dxa"/>
          </w:tcPr>
          <w:p>
            <w:pPr>
              <w:spacing w:line="257" w:lineRule="auto"/>
            </w:pPr>
            <w:r>
              <w:rPr>
                <w:rFonts w:cs="Arial"/>
                <w:lang w:val="en-US"/>
              </w:rPr>
              <w:t>The Programme will contribute to further strengthening the research excellence and innovation capacities of Polish research organizations, universities and enterprises</w:t>
            </w:r>
            <w:r>
              <w:rPr>
                <w:rFonts w:cs="Arial"/>
              </w:rPr>
              <w:t xml:space="preserve"> (</w:t>
            </w:r>
            <w:r>
              <w:rPr>
                <w:rFonts w:cs="Arial"/>
                <w:lang w:val="en-US"/>
              </w:rPr>
              <w:t xml:space="preserve">with an emphasis on SMEs as engines of innovation and job creation) by facilitating the research and innovation cooperation with the Swiss and other international partners. The Programme will enhance the relations of the Polish research and </w:t>
            </w:r>
            <w:r>
              <w:rPr>
                <w:rFonts w:cs="Arial"/>
                <w:lang w:val="en-US"/>
              </w:rPr>
              <w:lastRenderedPageBreak/>
              <w:t xml:space="preserve">innovation communities with leading R+I actors in Europe. </w:t>
            </w:r>
          </w:p>
        </w:tc>
      </w:tr>
      <w:tr>
        <w:tc>
          <w:tcPr>
            <w:tcW w:w="3680" w:type="dxa"/>
            <w:shd w:val="clear" w:color="auto" w:fill="D9D9D9"/>
          </w:tcPr>
          <w:p>
            <w:pPr>
              <w:spacing w:line="276" w:lineRule="auto"/>
            </w:pPr>
            <w:r>
              <w:lastRenderedPageBreak/>
              <w:t>Strategic Focus</w:t>
            </w:r>
          </w:p>
        </w:tc>
        <w:tc>
          <w:tcPr>
            <w:tcW w:w="5382" w:type="dxa"/>
          </w:tcPr>
          <w:p>
            <w:pPr>
              <w:spacing w:line="276" w:lineRule="auto"/>
            </w:pPr>
            <w:r>
              <w:t>The Research and Innovation Programme comprises</w:t>
            </w:r>
            <w:r>
              <w:rPr>
                <w:shd w:val="clear" w:color="auto" w:fill="E6E6E6"/>
              </w:rPr>
              <w:t>:</w:t>
            </w:r>
          </w:p>
          <w:p>
            <w:pPr>
              <w:spacing w:after="60" w:line="276" w:lineRule="auto"/>
              <w:rPr>
                <w:i/>
                <w:iCs/>
                <w:u w:val="single"/>
              </w:rPr>
            </w:pPr>
            <w:r>
              <w:rPr>
                <w:i/>
                <w:iCs/>
                <w:u w:val="single"/>
              </w:rPr>
              <w:t>Applied research</w:t>
            </w:r>
          </w:p>
          <w:p>
            <w:pPr>
              <w:spacing w:line="276" w:lineRule="auto"/>
              <w:rPr>
                <w:rFonts w:cs="Arial"/>
                <w:szCs w:val="22"/>
                <w:lang w:val="en-US"/>
              </w:rPr>
            </w:pPr>
            <w:r>
              <w:rPr>
                <w:rFonts w:cs="Arial"/>
                <w:szCs w:val="22"/>
                <w:lang w:val="en-US"/>
              </w:rPr>
              <w:t>The bilateral instrument of applied research aims at enhancing the quality and performance of applied research in Poland through improved research cooperation between Poland and Switzerland, based on equal partnerships between Swiss and Polish research institutions and enterprises with an emphasis on SMEs as engines of innovation and job creation.</w:t>
            </w:r>
          </w:p>
          <w:p>
            <w:pPr>
              <w:spacing w:line="276" w:lineRule="auto"/>
              <w:rPr>
                <w:i/>
                <w:iCs/>
                <w:u w:val="single"/>
              </w:rPr>
            </w:pPr>
            <w:r>
              <w:rPr>
                <w:i/>
                <w:iCs/>
                <w:u w:val="single"/>
              </w:rPr>
              <w:t>Basic research / Multilateral Call for Joint Research Projects (MCJRP)</w:t>
            </w:r>
          </w:p>
          <w:p>
            <w:pPr>
              <w:spacing w:line="276" w:lineRule="auto"/>
            </w:pPr>
            <w:r>
              <w:t xml:space="preserve">MCJRP focuses on strengthening the internationalisation of research with a focus on basic research. It will foster sustainable partnerships between persons and institutions in the field of research and innovation. </w:t>
            </w:r>
          </w:p>
          <w:p>
            <w:pPr>
              <w:spacing w:line="276" w:lineRule="auto"/>
            </w:pPr>
            <w:r>
              <w:t>The MCJRP will leverage the successful research projects from the first Swiss contribution through regional research networks as engines of economic growth and innovation.</w:t>
            </w:r>
          </w:p>
        </w:tc>
      </w:tr>
      <w:tr>
        <w:tc>
          <w:tcPr>
            <w:tcW w:w="3680" w:type="dxa"/>
            <w:shd w:val="clear" w:color="auto" w:fill="D9D9D9"/>
          </w:tcPr>
          <w:p>
            <w:pPr>
              <w:spacing w:line="276" w:lineRule="auto"/>
            </w:pPr>
            <w:r>
              <w:t>Swiss indicative committment</w:t>
            </w:r>
          </w:p>
        </w:tc>
        <w:tc>
          <w:tcPr>
            <w:tcW w:w="5382" w:type="dxa"/>
          </w:tcPr>
          <w:p>
            <w:pPr>
              <w:spacing w:line="276" w:lineRule="auto"/>
            </w:pPr>
            <w:r>
              <w:t>35 million CHF</w:t>
            </w:r>
          </w:p>
          <w:p>
            <w:pPr>
              <w:numPr>
                <w:ilvl w:val="0"/>
                <w:numId w:val="39"/>
              </w:numPr>
              <w:spacing w:before="0" w:after="0" w:line="276" w:lineRule="auto"/>
              <w:ind w:left="357" w:hanging="357"/>
              <w:rPr>
                <w:rFonts w:cs="Arial"/>
              </w:rPr>
            </w:pPr>
            <w:r>
              <w:rPr>
                <w:rFonts w:cs="Arial"/>
              </w:rPr>
              <w:t xml:space="preserve">29 million CHF – Applied Research </w:t>
            </w:r>
          </w:p>
          <w:p>
            <w:pPr>
              <w:numPr>
                <w:ilvl w:val="0"/>
                <w:numId w:val="39"/>
              </w:numPr>
              <w:spacing w:before="60" w:after="0" w:line="276" w:lineRule="auto"/>
              <w:ind w:left="357" w:hanging="357"/>
              <w:rPr>
                <w:rFonts w:cs="Arial"/>
              </w:rPr>
            </w:pPr>
            <w:r>
              <w:rPr>
                <w:rFonts w:cs="Arial"/>
              </w:rPr>
              <w:t xml:space="preserve">6 million CHF – Basic Research </w:t>
            </w:r>
          </w:p>
        </w:tc>
      </w:tr>
      <w:tr>
        <w:tc>
          <w:tcPr>
            <w:tcW w:w="3680" w:type="dxa"/>
            <w:shd w:val="clear" w:color="auto" w:fill="D9D9D9"/>
          </w:tcPr>
          <w:p>
            <w:pPr>
              <w:spacing w:line="276" w:lineRule="auto"/>
            </w:pPr>
            <w:r>
              <w:t>Programme Operator(s)</w:t>
            </w:r>
          </w:p>
        </w:tc>
        <w:tc>
          <w:tcPr>
            <w:tcW w:w="5382" w:type="dxa"/>
          </w:tcPr>
          <w:p>
            <w:pPr>
              <w:spacing w:line="276" w:lineRule="auto"/>
            </w:pPr>
            <w:r>
              <w:rPr>
                <w:i/>
                <w:iCs/>
              </w:rPr>
              <w:t>Applied Research</w:t>
            </w:r>
            <w:r>
              <w:t xml:space="preserve">: The National Centre for Research and Development (NCBR) in cooperation with Swiss actor(s) </w:t>
            </w:r>
            <w:r>
              <w:rPr>
                <w:lang w:val="en-US"/>
              </w:rPr>
              <w:t>that will be identified during the preparation of the Support Measure</w:t>
            </w:r>
            <w:r>
              <w:t xml:space="preserve">. </w:t>
            </w:r>
          </w:p>
          <w:p>
            <w:pPr>
              <w:spacing w:line="276" w:lineRule="auto"/>
              <w:rPr>
                <w:rFonts w:cs="Arial"/>
              </w:rPr>
            </w:pPr>
            <w:r>
              <w:rPr>
                <w:rFonts w:cs="Arial"/>
                <w:i/>
                <w:iCs/>
              </w:rPr>
              <w:t>Basic Research:</w:t>
            </w:r>
            <w:r>
              <w:rPr>
                <w:rFonts w:cs="Arial"/>
              </w:rPr>
              <w:t xml:space="preserve"> The Swiss National Science Foundation (SNSF) in cooperation with the Polish partner that will be identified during the preparation of the Support Measure.</w:t>
            </w:r>
          </w:p>
          <w:p>
            <w:pPr>
              <w:spacing w:line="276" w:lineRule="auto"/>
              <w:rPr>
                <w:rFonts w:cs="Arial"/>
              </w:rPr>
            </w:pPr>
            <w:r>
              <w:rPr>
                <w:rFonts w:cs="Arial"/>
              </w:rPr>
              <w:t>Details of cooperation will be described in the Support Measure Agreement.</w:t>
            </w:r>
          </w:p>
        </w:tc>
      </w:tr>
      <w:tr>
        <w:tc>
          <w:tcPr>
            <w:tcW w:w="3680" w:type="dxa"/>
            <w:shd w:val="clear" w:color="auto" w:fill="D9D9D9"/>
          </w:tcPr>
          <w:p>
            <w:pPr>
              <w:spacing w:line="276" w:lineRule="auto"/>
            </w:pPr>
            <w:r>
              <w:t>Swiss Support Measure Partner(s)</w:t>
            </w:r>
          </w:p>
        </w:tc>
        <w:tc>
          <w:tcPr>
            <w:tcW w:w="5382" w:type="dxa"/>
          </w:tcPr>
          <w:p>
            <w:pPr>
              <w:spacing w:before="0" w:line="240" w:lineRule="auto"/>
            </w:pPr>
            <w:r>
              <w:t>Swiss research institutions and agencies</w:t>
            </w:r>
          </w:p>
        </w:tc>
      </w:tr>
      <w:tr>
        <w:tc>
          <w:tcPr>
            <w:tcW w:w="3680" w:type="dxa"/>
          </w:tcPr>
          <w:p>
            <w:pPr>
              <w:spacing w:line="276" w:lineRule="auto"/>
              <w:rPr>
                <w:lang w:val="en-US"/>
              </w:rPr>
            </w:pPr>
            <w:r>
              <w:rPr>
                <w:lang w:val="en-US"/>
              </w:rPr>
              <w:lastRenderedPageBreak/>
              <w:t>Other specificities related to the Support Measure</w:t>
            </w:r>
          </w:p>
        </w:tc>
        <w:tc>
          <w:tcPr>
            <w:tcW w:w="5382" w:type="dxa"/>
            <w:shd w:val="clear" w:color="auto" w:fill="auto"/>
          </w:tcPr>
          <w:p>
            <w:pPr>
              <w:spacing w:line="276" w:lineRule="auto"/>
              <w:rPr>
                <w:lang w:val="en-US"/>
              </w:rPr>
            </w:pPr>
            <w:r>
              <w:rPr>
                <w:rFonts w:cs="Arial"/>
                <w:i/>
                <w:iCs/>
                <w:lang w:val="en-US"/>
              </w:rPr>
              <w:t>Applied Research</w:t>
            </w:r>
            <w:r>
              <w:rPr>
                <w:rFonts w:cs="Arial"/>
                <w:lang w:val="en-US"/>
              </w:rPr>
              <w:t>: The contracts between the Programme Operator and the Programme Component Operators (beneficiaries) are concluded in PLN. The budget set in PLN at the Support Measure Proposal is indicative and the grant amount in CHF is binding.</w:t>
            </w:r>
          </w:p>
          <w:p>
            <w:pPr>
              <w:spacing w:line="276" w:lineRule="auto"/>
              <w:rPr>
                <w:lang w:val="en-US"/>
              </w:rPr>
            </w:pPr>
            <w:r>
              <w:rPr>
                <w:i/>
                <w:iCs/>
                <w:lang w:val="en-US"/>
              </w:rPr>
              <w:t>Basic research:</w:t>
            </w:r>
            <w:r>
              <w:rPr>
                <w:lang w:val="en-US"/>
              </w:rPr>
              <w:t xml:space="preserve"> The Programme Operator will be the Swiss National Science Foundation (SNSF); </w:t>
            </w:r>
          </w:p>
          <w:p>
            <w:pPr>
              <w:numPr>
                <w:ilvl w:val="0"/>
                <w:numId w:val="38"/>
              </w:numPr>
              <w:spacing w:before="0" w:after="0" w:line="276" w:lineRule="auto"/>
              <w:rPr>
                <w:lang w:val="en-US"/>
              </w:rPr>
            </w:pPr>
            <w:r>
              <w:t>Joint research projects will be selected and managed according to established SNSF procedures and systems.</w:t>
            </w:r>
          </w:p>
          <w:p>
            <w:pPr>
              <w:numPr>
                <w:ilvl w:val="0"/>
                <w:numId w:val="38"/>
              </w:numPr>
              <w:spacing w:before="0" w:after="0" w:line="276" w:lineRule="auto"/>
              <w:rPr>
                <w:rFonts w:ascii="Calibri" w:eastAsia="Times New Roman" w:hAnsi="Calibri"/>
                <w:lang w:val="en-US"/>
              </w:rPr>
            </w:pPr>
            <w:r>
              <w:t>Specific rules, deviating from the Regulations e.g. on selection, financial flows</w:t>
            </w:r>
            <w:r>
              <w:rPr>
                <w:rFonts w:cs="Arial"/>
                <w:color w:val="008080"/>
              </w:rPr>
              <w:t xml:space="preserve"> </w:t>
            </w:r>
            <w:r>
              <w:rPr>
                <w:rFonts w:cs="Arial"/>
                <w:u w:val="single"/>
              </w:rPr>
              <w:t>(</w:t>
            </w:r>
            <w:r>
              <w:rPr>
                <w:rFonts w:cs="Arial"/>
              </w:rPr>
              <w:t>including direct transfers from the SDC to the SNSF</w:t>
            </w:r>
            <w:r>
              <w:rPr>
                <w:rFonts w:cs="Arial"/>
                <w:u w:val="single"/>
              </w:rPr>
              <w:t>)</w:t>
            </w:r>
            <w:r>
              <w:t>, audit and reporting may be applied and further defined in the Support Measure Agreement.</w:t>
            </w:r>
            <w:r>
              <w:rPr>
                <w:rFonts w:cs="Arial"/>
                <w:lang w:val="en-US"/>
              </w:rPr>
              <w:t xml:space="preserve"> </w:t>
            </w:r>
          </w:p>
        </w:tc>
      </w:tr>
    </w:tbl>
    <w:p>
      <w:pPr>
        <w:spacing w:before="0" w:line="240" w:lineRule="auto"/>
        <w:ind w:left="360"/>
        <w:rPr>
          <w:b/>
          <w:lang w:val="en-US"/>
        </w:rPr>
      </w:pPr>
    </w:p>
    <w:p>
      <w:pPr>
        <w:spacing w:before="0" w:line="240" w:lineRule="auto"/>
        <w:ind w:left="360"/>
        <w:rPr>
          <w:b/>
          <w:lang w:val="en-US"/>
        </w:rPr>
      </w:pPr>
      <w:r>
        <w:rPr>
          <w:b/>
          <w:lang w:val="en-US"/>
        </w:rPr>
        <w:br w:type="page"/>
      </w:r>
    </w:p>
    <w:p>
      <w:pPr>
        <w:pStyle w:val="Paragraphedeliste"/>
        <w:numPr>
          <w:ilvl w:val="0"/>
          <w:numId w:val="26"/>
        </w:numPr>
        <w:spacing w:before="240" w:line="240" w:lineRule="auto"/>
        <w:ind w:left="567" w:hanging="567"/>
        <w:rPr>
          <w:b/>
          <w:sz w:val="28"/>
          <w:lang w:val="en-US"/>
        </w:rPr>
      </w:pPr>
      <w:r>
        <w:rPr>
          <w:b/>
          <w:sz w:val="28"/>
          <w:lang w:val="en-US"/>
        </w:rPr>
        <w:lastRenderedPageBreak/>
        <w:t>Specific rules and procedures for Poland</w:t>
      </w:r>
    </w:p>
    <w:p>
      <w:pPr>
        <w:spacing w:before="0" w:line="240" w:lineRule="auto"/>
        <w:rPr>
          <w:lang w:val="en-US"/>
        </w:rPr>
      </w:pPr>
      <w:r>
        <w:rPr>
          <w:lang w:val="en-US"/>
        </w:rPr>
        <w:t xml:space="preserve">Switzerland and Poland agree that the following articles of the Regulations will be amended in the respective Support Measure Agreements, in the following way, in order to cope with the particularities of each Support Measure. </w:t>
      </w:r>
    </w:p>
    <w:p>
      <w:pPr>
        <w:pStyle w:val="Paragraphedeliste"/>
        <w:numPr>
          <w:ilvl w:val="1"/>
          <w:numId w:val="26"/>
        </w:numPr>
        <w:spacing w:before="240" w:line="240" w:lineRule="auto"/>
        <w:ind w:left="567" w:hanging="567"/>
        <w:rPr>
          <w:b/>
          <w:lang w:val="en-US"/>
        </w:rPr>
      </w:pPr>
      <w:r>
        <w:rPr>
          <w:b/>
          <w:lang w:val="en-US"/>
        </w:rPr>
        <w:t>Derogations from the Regulations applicable for the whole Swiss- Polish Cooperation Programme:</w:t>
      </w:r>
    </w:p>
    <w:p>
      <w:pPr>
        <w:pStyle w:val="Paragraphedeliste"/>
        <w:numPr>
          <w:ilvl w:val="0"/>
          <w:numId w:val="49"/>
        </w:numPr>
        <w:spacing w:after="120"/>
        <w:ind w:left="284" w:hanging="284"/>
        <w:rPr>
          <w:lang w:val="en-US"/>
        </w:rPr>
      </w:pPr>
      <w:bookmarkStart w:id="0" w:name="_Ref11415836"/>
      <w:bookmarkEnd w:id="0"/>
      <w:r>
        <w:rPr>
          <w:i/>
          <w:iCs/>
          <w:lang w:val="en-US"/>
        </w:rPr>
        <w:t>The following paragraph replaces Art 4.11 Paragraph 2 of the Regulations (composition of the Support Measure Steering Committee):</w:t>
      </w:r>
    </w:p>
    <w:p>
      <w:pPr>
        <w:spacing w:before="0" w:line="240" w:lineRule="auto"/>
        <w:ind w:left="284"/>
        <w:rPr>
          <w:rFonts w:cs="Arial"/>
          <w:szCs w:val="22"/>
          <w:lang w:eastAsia="pl-PL"/>
        </w:rPr>
      </w:pPr>
      <w:r>
        <w:rPr>
          <w:rFonts w:cs="Arial"/>
          <w:color w:val="000000"/>
          <w:kern w:val="24"/>
          <w:szCs w:val="22"/>
          <w:lang w:val="en-US" w:eastAsia="pl-PL"/>
        </w:rPr>
        <w:t>In general, the Support Measure Steering Committee shall be composed of the following members:</w:t>
      </w:r>
      <w:r>
        <w:rPr>
          <w:rFonts w:eastAsia="Calibri" w:cs="Arial"/>
          <w:color w:val="000000"/>
          <w:kern w:val="24"/>
          <w:szCs w:val="22"/>
          <w:lang w:eastAsia="pl-PL"/>
        </w:rPr>
        <w:t> </w:t>
      </w:r>
    </w:p>
    <w:p>
      <w:pPr>
        <w:numPr>
          <w:ilvl w:val="0"/>
          <w:numId w:val="32"/>
        </w:numPr>
        <w:spacing w:before="0" w:line="240" w:lineRule="auto"/>
        <w:ind w:left="709"/>
        <w:textAlignment w:val="baseline"/>
        <w:rPr>
          <w:rFonts w:cs="Arial"/>
          <w:lang w:eastAsia="pl-PL"/>
        </w:rPr>
      </w:pPr>
      <w:r>
        <w:rPr>
          <w:rFonts w:cs="Arial"/>
          <w:color w:val="000000"/>
          <w:kern w:val="24"/>
          <w:lang w:eastAsia="pl-PL"/>
        </w:rPr>
        <w:t xml:space="preserve">the </w:t>
      </w:r>
      <w:r>
        <w:rPr>
          <w:rFonts w:cs="Arial"/>
          <w:kern w:val="24"/>
          <w:lang w:eastAsia="pl-PL"/>
        </w:rPr>
        <w:t>NCU/Programme Operator</w:t>
      </w:r>
      <w:r>
        <w:rPr>
          <w:rFonts w:cs="Arial"/>
          <w:color w:val="FF0000"/>
          <w:kern w:val="24"/>
          <w:lang w:eastAsia="pl-PL"/>
        </w:rPr>
        <w:t xml:space="preserve"> </w:t>
      </w:r>
      <w:r>
        <w:rPr>
          <w:rFonts w:cs="Arial"/>
          <w:color w:val="000000"/>
          <w:kern w:val="24"/>
          <w:lang w:eastAsia="pl-PL"/>
        </w:rPr>
        <w:t>as Chair;</w:t>
      </w:r>
    </w:p>
    <w:p>
      <w:pPr>
        <w:numPr>
          <w:ilvl w:val="0"/>
          <w:numId w:val="32"/>
        </w:numPr>
        <w:spacing w:before="0" w:line="240" w:lineRule="auto"/>
        <w:ind w:left="709"/>
        <w:textAlignment w:val="baseline"/>
        <w:rPr>
          <w:rFonts w:cs="Arial"/>
          <w:szCs w:val="22"/>
          <w:lang w:eastAsia="pl-PL"/>
        </w:rPr>
      </w:pPr>
      <w:r>
        <w:rPr>
          <w:rFonts w:cs="Arial"/>
          <w:color w:val="000000"/>
          <w:kern w:val="24"/>
          <w:szCs w:val="22"/>
          <w:lang w:eastAsia="pl-PL"/>
        </w:rPr>
        <w:t>if applicable, the Intermediate Body as Deputy Chair;</w:t>
      </w:r>
    </w:p>
    <w:p>
      <w:pPr>
        <w:numPr>
          <w:ilvl w:val="0"/>
          <w:numId w:val="32"/>
        </w:numPr>
        <w:spacing w:before="0" w:line="240" w:lineRule="auto"/>
        <w:ind w:left="709"/>
        <w:textAlignment w:val="baseline"/>
        <w:rPr>
          <w:rFonts w:cs="Arial"/>
          <w:lang w:eastAsia="pl-PL"/>
        </w:rPr>
      </w:pPr>
      <w:r>
        <w:rPr>
          <w:rFonts w:cs="Arial"/>
          <w:color w:val="000000"/>
          <w:kern w:val="24"/>
          <w:lang w:eastAsia="pl-PL"/>
        </w:rPr>
        <w:t xml:space="preserve">the </w:t>
      </w:r>
      <w:r>
        <w:rPr>
          <w:rFonts w:cs="Arial"/>
          <w:kern w:val="24"/>
          <w:lang w:eastAsia="pl-PL"/>
        </w:rPr>
        <w:t xml:space="preserve">NCU/Programme Operator </w:t>
      </w:r>
      <w:r>
        <w:rPr>
          <w:rFonts w:cs="Arial"/>
          <w:color w:val="000000"/>
          <w:kern w:val="24"/>
          <w:lang w:eastAsia="pl-PL"/>
        </w:rPr>
        <w:t>as Secretary;</w:t>
      </w:r>
    </w:p>
    <w:p>
      <w:pPr>
        <w:numPr>
          <w:ilvl w:val="0"/>
          <w:numId w:val="32"/>
        </w:numPr>
        <w:spacing w:before="0" w:line="240" w:lineRule="auto"/>
        <w:ind w:left="709"/>
        <w:textAlignment w:val="baseline"/>
        <w:rPr>
          <w:rFonts w:cs="Arial"/>
          <w:szCs w:val="22"/>
          <w:lang w:val="pl-PL" w:eastAsia="pl-PL"/>
        </w:rPr>
      </w:pPr>
      <w:r>
        <w:rPr>
          <w:rFonts w:cs="Arial"/>
          <w:color w:val="000000"/>
          <w:kern w:val="24"/>
          <w:szCs w:val="22"/>
          <w:lang w:eastAsia="pl-PL"/>
        </w:rPr>
        <w:t>the SCO;</w:t>
      </w:r>
    </w:p>
    <w:p>
      <w:pPr>
        <w:numPr>
          <w:ilvl w:val="0"/>
          <w:numId w:val="32"/>
        </w:numPr>
        <w:spacing w:before="0" w:line="240" w:lineRule="auto"/>
        <w:ind w:left="709" w:hanging="357"/>
        <w:textAlignment w:val="baseline"/>
        <w:rPr>
          <w:rFonts w:cs="Arial"/>
          <w:color w:val="000000"/>
          <w:lang w:eastAsia="pl-PL"/>
        </w:rPr>
      </w:pPr>
      <w:r>
        <w:rPr>
          <w:rFonts w:cs="Arial"/>
          <w:color w:val="000000"/>
          <w:lang w:eastAsia="pl-PL"/>
        </w:rPr>
        <w:t xml:space="preserve">if </w:t>
      </w:r>
      <w:r>
        <w:rPr>
          <w:rFonts w:cs="Arial"/>
          <w:lang w:eastAsia="pl-PL"/>
        </w:rPr>
        <w:t xml:space="preserve">appropriate, any other thematically relevant entity from Poland and/or from Switzerland. </w:t>
      </w:r>
    </w:p>
    <w:p>
      <w:pPr>
        <w:pStyle w:val="Paragraphedeliste"/>
        <w:numPr>
          <w:ilvl w:val="0"/>
          <w:numId w:val="49"/>
        </w:numPr>
        <w:spacing w:before="240" w:after="120"/>
        <w:ind w:left="284" w:hanging="284"/>
        <w:rPr>
          <w:i/>
          <w:iCs/>
          <w:lang w:val="en-US"/>
        </w:rPr>
      </w:pPr>
      <w:r>
        <w:rPr>
          <w:i/>
          <w:iCs/>
          <w:lang w:val="en-US"/>
        </w:rPr>
        <w:t>The following paragraph replaces Art 4.11 Paragraph 3 of the Regulations (Support Measure Steering Committee - voting rights):</w:t>
      </w:r>
    </w:p>
    <w:p>
      <w:pPr>
        <w:spacing w:before="0" w:after="0" w:line="240" w:lineRule="auto"/>
        <w:ind w:left="360"/>
        <w:rPr>
          <w:rFonts w:cs="Arial"/>
          <w:color w:val="000000"/>
          <w:kern w:val="24"/>
          <w:szCs w:val="22"/>
          <w:lang w:val="en-US" w:eastAsia="pl-PL"/>
        </w:rPr>
      </w:pPr>
      <w:r>
        <w:rPr>
          <w:rFonts w:cs="Arial"/>
          <w:color w:val="000000"/>
          <w:kern w:val="24"/>
          <w:szCs w:val="22"/>
          <w:lang w:val="en-US" w:eastAsia="pl-PL"/>
        </w:rPr>
        <w:t>The exact composition of the Support Measure Steering Committee and the voting rights of its members shall be defined in the relevant Support Measure Agreement, taking into account that:</w:t>
      </w:r>
    </w:p>
    <w:p>
      <w:pPr>
        <w:spacing w:before="0" w:after="0" w:line="240" w:lineRule="auto"/>
        <w:ind w:left="360"/>
        <w:rPr>
          <w:rFonts w:cs="Arial"/>
          <w:szCs w:val="22"/>
          <w:lang w:eastAsia="pl-PL"/>
        </w:rPr>
      </w:pPr>
    </w:p>
    <w:p>
      <w:pPr>
        <w:spacing w:before="0" w:line="240" w:lineRule="auto"/>
        <w:ind w:left="360"/>
        <w:rPr>
          <w:rFonts w:cs="Arial"/>
          <w:lang w:eastAsia="pl-PL"/>
        </w:rPr>
      </w:pPr>
      <w:r>
        <w:rPr>
          <w:rFonts w:cs="Arial"/>
          <w:color w:val="000000"/>
          <w:kern w:val="24"/>
          <w:lang w:val="en-US" w:eastAsia="pl-PL"/>
        </w:rPr>
        <w:t>a)</w:t>
      </w:r>
      <w:r>
        <w:rPr>
          <w:rFonts w:cs="Arial"/>
          <w:color w:val="000000"/>
          <w:kern w:val="24"/>
          <w:lang w:eastAsia="pl-PL"/>
        </w:rPr>
        <w:tab/>
      </w:r>
      <w:r>
        <w:rPr>
          <w:rFonts w:cs="Arial"/>
          <w:color w:val="000000"/>
          <w:kern w:val="24"/>
          <w:lang w:val="en-US" w:eastAsia="pl-PL"/>
        </w:rPr>
        <w:t xml:space="preserve">the </w:t>
      </w:r>
      <w:r>
        <w:rPr>
          <w:rFonts w:cs="Arial"/>
          <w:kern w:val="24"/>
          <w:lang w:val="en-US" w:eastAsia="pl-PL"/>
        </w:rPr>
        <w:t>NCU/</w:t>
      </w:r>
      <w:r>
        <w:rPr>
          <w:rFonts w:cs="Arial"/>
          <w:color w:val="000000"/>
          <w:kern w:val="24"/>
          <w:lang w:val="en-US" w:eastAsia="pl-PL"/>
        </w:rPr>
        <w:t xml:space="preserve">Programme Operator shall </w:t>
      </w:r>
      <w:r>
        <w:rPr>
          <w:rFonts w:cs="Arial"/>
          <w:kern w:val="24"/>
          <w:lang w:val="en-US" w:eastAsia="pl-PL"/>
        </w:rPr>
        <w:t>have</w:t>
      </w:r>
      <w:r>
        <w:rPr>
          <w:rFonts w:cs="Arial"/>
          <w:color w:val="000000"/>
          <w:kern w:val="24"/>
          <w:lang w:val="en-US" w:eastAsia="pl-PL"/>
        </w:rPr>
        <w:t xml:space="preserve"> the right to vote; </w:t>
      </w:r>
    </w:p>
    <w:p>
      <w:pPr>
        <w:spacing w:before="0" w:line="240" w:lineRule="auto"/>
        <w:ind w:left="360"/>
        <w:rPr>
          <w:rFonts w:cs="Arial"/>
          <w:lang w:eastAsia="pl-PL"/>
        </w:rPr>
      </w:pPr>
      <w:r>
        <w:rPr>
          <w:rFonts w:cs="Arial"/>
          <w:color w:val="000000"/>
          <w:kern w:val="24"/>
          <w:lang w:val="en-US" w:eastAsia="pl-PL"/>
        </w:rPr>
        <w:t>b)</w:t>
      </w:r>
      <w:r>
        <w:rPr>
          <w:rFonts w:cs="Arial"/>
          <w:color w:val="000000"/>
          <w:kern w:val="24"/>
          <w:lang w:eastAsia="pl-PL"/>
        </w:rPr>
        <w:tab/>
      </w:r>
      <w:r>
        <w:rPr>
          <w:rFonts w:cs="Arial"/>
          <w:color w:val="000000"/>
          <w:kern w:val="24"/>
          <w:lang w:val="en-US" w:eastAsia="pl-PL"/>
        </w:rPr>
        <w:t xml:space="preserve">the SCO shall </w:t>
      </w:r>
      <w:r>
        <w:rPr>
          <w:rFonts w:cs="Arial"/>
          <w:kern w:val="24"/>
          <w:lang w:val="en-US" w:eastAsia="pl-PL"/>
        </w:rPr>
        <w:t>have</w:t>
      </w:r>
      <w:r>
        <w:rPr>
          <w:rFonts w:cs="Arial"/>
          <w:color w:val="000000"/>
          <w:kern w:val="24"/>
          <w:lang w:val="en-US" w:eastAsia="pl-PL"/>
        </w:rPr>
        <w:t xml:space="preserve"> the right to vote;</w:t>
      </w:r>
    </w:p>
    <w:p>
      <w:pPr>
        <w:spacing w:before="0" w:line="240" w:lineRule="auto"/>
        <w:ind w:left="709" w:hanging="349"/>
        <w:rPr>
          <w:rFonts w:cs="Arial"/>
          <w:color w:val="000000"/>
          <w:kern w:val="24"/>
          <w:lang w:val="en-US" w:eastAsia="pl-PL"/>
        </w:rPr>
      </w:pPr>
      <w:r>
        <w:rPr>
          <w:rFonts w:cs="Arial"/>
          <w:color w:val="000000"/>
          <w:kern w:val="24"/>
          <w:lang w:val="en-US" w:eastAsia="pl-PL"/>
        </w:rPr>
        <w:t>c)</w:t>
      </w:r>
      <w:r>
        <w:rPr>
          <w:rFonts w:cs="Arial"/>
          <w:color w:val="000000"/>
          <w:kern w:val="24"/>
          <w:lang w:val="en-US" w:eastAsia="pl-PL"/>
        </w:rPr>
        <w:tab/>
        <w:t>the NCU and the SCO shall the right to veto any decision taken by the Support Measure Steering Committee.</w:t>
      </w:r>
    </w:p>
    <w:p>
      <w:pPr>
        <w:pStyle w:val="Paragraphedeliste"/>
        <w:numPr>
          <w:ilvl w:val="0"/>
          <w:numId w:val="49"/>
        </w:numPr>
        <w:spacing w:before="240" w:after="120"/>
        <w:ind w:left="426" w:hanging="426"/>
        <w:rPr>
          <w:i/>
          <w:iCs/>
          <w:lang w:val="en-US"/>
        </w:rPr>
      </w:pPr>
      <w:r>
        <w:rPr>
          <w:i/>
          <w:iCs/>
          <w:lang w:val="en-US"/>
        </w:rPr>
        <w:t>The following paragraph replaces Art 7.2 of the Regulations (Role of Switzerland):</w:t>
      </w:r>
    </w:p>
    <w:p>
      <w:pPr>
        <w:numPr>
          <w:ilvl w:val="0"/>
          <w:numId w:val="36"/>
        </w:numPr>
        <w:spacing w:before="0" w:line="240" w:lineRule="auto"/>
        <w:ind w:left="709" w:hanging="283"/>
        <w:rPr>
          <w:lang w:val="en-US"/>
        </w:rPr>
      </w:pPr>
      <w:r>
        <w:rPr>
          <w:lang w:val="en-US"/>
        </w:rPr>
        <w:t xml:space="preserve">During the approval procedure for Support Measures as stipulated in Article 4.7 and, where applicable, during the subsequent approval procedure for Programme Components and amendments to Support Measures resulting in additional procurements, having in mind the mitigation of occurrence of irregularities, Switzerland will select a limited and well justified number of public procurements for which: </w:t>
      </w:r>
    </w:p>
    <w:p>
      <w:pPr>
        <w:numPr>
          <w:ilvl w:val="0"/>
          <w:numId w:val="34"/>
        </w:numPr>
        <w:spacing w:before="0" w:line="240" w:lineRule="auto"/>
        <w:ind w:left="1066" w:hanging="357"/>
        <w:rPr>
          <w:lang w:val="en-US"/>
        </w:rPr>
      </w:pPr>
      <w:r>
        <w:rPr>
          <w:lang w:val="en-US"/>
        </w:rPr>
        <w:t>Switzerland requests a copy of relevant parts of the tender documents (including draft contracts) for non-objection prior to the commencement of the procurement procedure. For such cases, the NCU shall notify SCO 30 days in advance about the exact date of submission and nature of the tender document. The NCU shall submit the relevant parts of tender documents to the SCO for an assessment to be completed within 10 working days. As a result of this assessment, Switzerland may recommend adjustments to the tender documents. These recommendations may be taken into account and the SCO shall be informed accordingly;</w:t>
      </w:r>
    </w:p>
    <w:p>
      <w:pPr>
        <w:numPr>
          <w:ilvl w:val="0"/>
          <w:numId w:val="34"/>
        </w:numPr>
        <w:spacing w:before="0" w:line="240" w:lineRule="auto"/>
        <w:ind w:left="1066" w:hanging="357"/>
        <w:rPr>
          <w:lang w:val="en-US"/>
        </w:rPr>
      </w:pPr>
      <w:r>
        <w:rPr>
          <w:lang w:val="en-US"/>
        </w:rPr>
        <w:lastRenderedPageBreak/>
        <w:t>a notice with basic information on the tender, based on the template provided by Switzerland, is requested for the announcement of the tender in Switzerland. The notice shall be submitted to the SCO no later than five working days before publication of the tender in order to allow an announcement of the tender in Switzerland shortly after the announcement of the tender in the Partner State;</w:t>
      </w:r>
    </w:p>
    <w:p>
      <w:pPr>
        <w:numPr>
          <w:ilvl w:val="0"/>
          <w:numId w:val="34"/>
        </w:numPr>
        <w:spacing w:before="0" w:line="240" w:lineRule="auto"/>
        <w:ind w:left="1072"/>
        <w:rPr>
          <w:lang w:val="en-US"/>
        </w:rPr>
      </w:pPr>
      <w:r>
        <w:rPr>
          <w:lang w:val="en-US"/>
        </w:rPr>
        <w:t xml:space="preserve">Switzerland requests an English translation of the tender documents to be made available to bidders. </w:t>
      </w:r>
    </w:p>
    <w:p>
      <w:pPr>
        <w:spacing w:before="0" w:line="240" w:lineRule="auto"/>
        <w:ind w:left="1072"/>
        <w:rPr>
          <w:lang w:val="en-US"/>
        </w:rPr>
      </w:pPr>
      <w:r>
        <w:rPr>
          <w:lang w:val="en-US"/>
        </w:rPr>
        <w:t>In its selection, Switzerland will focus on public procurements above 500’000 CHF, but could also include smaller public procurements for studies to be financed under the Support Measure Preparation Fund.</w:t>
      </w:r>
    </w:p>
    <w:p>
      <w:pPr>
        <w:numPr>
          <w:ilvl w:val="0"/>
          <w:numId w:val="36"/>
        </w:numPr>
        <w:spacing w:before="0" w:line="240" w:lineRule="auto"/>
        <w:ind w:left="709" w:hanging="283"/>
        <w:rPr>
          <w:lang w:val="en-US"/>
        </w:rPr>
      </w:pPr>
      <w:r>
        <w:rPr>
          <w:lang w:val="en-US"/>
        </w:rPr>
        <w:t>The SCO, or any third party appointed by it, shall have the right to participate in any tender evaluation committee meeting as an observer. The NCU shall announce to Switzerland the dates of the tender evaluation committee meetings no later than five working days prior to the meetings.</w:t>
      </w:r>
    </w:p>
    <w:p>
      <w:pPr>
        <w:numPr>
          <w:ilvl w:val="0"/>
          <w:numId w:val="36"/>
        </w:numPr>
        <w:spacing w:before="0" w:line="240" w:lineRule="auto"/>
        <w:ind w:left="709" w:hanging="283"/>
        <w:rPr>
          <w:lang w:val="en-US"/>
        </w:rPr>
      </w:pPr>
      <w:r>
        <w:rPr>
          <w:lang w:val="en-US"/>
        </w:rPr>
        <w:t>The SCO shall have the right to request a copy of the evaluation report and of all or parts of concluded contracts. The requested documents shall be submitted at the latest 20 working days after the request.</w:t>
      </w:r>
    </w:p>
    <w:p>
      <w:pPr>
        <w:numPr>
          <w:ilvl w:val="0"/>
          <w:numId w:val="36"/>
        </w:numPr>
        <w:spacing w:before="0" w:line="240" w:lineRule="auto"/>
        <w:ind w:left="709" w:hanging="283"/>
        <w:rPr>
          <w:lang w:val="en-US"/>
        </w:rPr>
      </w:pPr>
      <w:r>
        <w:rPr>
          <w:lang w:val="en-US"/>
        </w:rPr>
        <w:t>The NCU shall ensure that records of all procurement procedures are retained in accordance with the law of the Partner State. The NCU shall provide any and all information pertaining to the awarding procedures, in addition to the documents listed above, which Switzerland may reasonably request.</w:t>
      </w:r>
    </w:p>
    <w:p>
      <w:pPr>
        <w:pStyle w:val="Paragraphedeliste"/>
        <w:numPr>
          <w:ilvl w:val="0"/>
          <w:numId w:val="49"/>
        </w:numPr>
        <w:spacing w:before="240" w:after="120"/>
        <w:ind w:left="426" w:hanging="426"/>
        <w:rPr>
          <w:i/>
          <w:iCs/>
          <w:lang w:val="en-US"/>
        </w:rPr>
      </w:pPr>
      <w:r>
        <w:rPr>
          <w:i/>
          <w:iCs/>
          <w:lang w:val="en-US"/>
        </w:rPr>
        <w:t xml:space="preserve">The following paragraph replaces Art 8.3 Paragraph 1 of the Regulations: </w:t>
      </w:r>
    </w:p>
    <w:p>
      <w:pPr>
        <w:pStyle w:val="Paragraphedeliste"/>
        <w:numPr>
          <w:ilvl w:val="0"/>
          <w:numId w:val="54"/>
        </w:numPr>
        <w:spacing w:before="240" w:after="120"/>
        <w:rPr>
          <w:i/>
          <w:lang w:val="en-US"/>
        </w:rPr>
      </w:pPr>
      <w:r>
        <w:rPr>
          <w:rFonts w:eastAsia="Arial" w:cs="Arial"/>
          <w:lang w:val="en-US"/>
        </w:rPr>
        <w:t>In exceptional cases, e.g., for Support Measures benefiting institutions with serious limitations for pre-financing, or for activities performed by Swiss Support Measure Partners, Switzerland may notwithstanding Article 8.1 paragraph 2, pre-finance or reimburse advance payments made by the Partner State to Executing Agencies. Such advance payments were to be agreed in the relevant Support Measure Agreement and subject to paragraphs 2 and 3 and to the provision of sufficient proof for the execution of the advance payment by the Partner State and to the provision of the Partner State’s co-financing in accordance with the respective Support Measure Agreement.</w:t>
      </w:r>
    </w:p>
    <w:p>
      <w:pPr>
        <w:pStyle w:val="Paragraphedeliste"/>
        <w:numPr>
          <w:ilvl w:val="1"/>
          <w:numId w:val="26"/>
        </w:numPr>
        <w:spacing w:before="240" w:line="240" w:lineRule="auto"/>
        <w:ind w:left="567" w:hanging="567"/>
        <w:rPr>
          <w:b/>
          <w:lang w:val="en-US"/>
        </w:rPr>
      </w:pPr>
      <w:r>
        <w:rPr>
          <w:b/>
          <w:lang w:val="en-US"/>
        </w:rPr>
        <w:t>Derogations from the regulations applicable only for the Polish Swiss Program for Development of Towns (DoT)</w:t>
      </w:r>
    </w:p>
    <w:p>
      <w:pPr>
        <w:pStyle w:val="Paragraphedeliste"/>
        <w:numPr>
          <w:ilvl w:val="0"/>
          <w:numId w:val="51"/>
        </w:numPr>
        <w:spacing w:before="240" w:after="120"/>
        <w:ind w:left="426" w:hanging="426"/>
        <w:rPr>
          <w:i/>
          <w:iCs/>
          <w:lang w:val="en-US"/>
        </w:rPr>
      </w:pPr>
      <w:bookmarkStart w:id="1" w:name="_Hlk105147327"/>
      <w:r>
        <w:rPr>
          <w:i/>
          <w:iCs/>
          <w:lang w:val="en-US"/>
        </w:rPr>
        <w:t xml:space="preserve">The following paragraph replaces Art 4.4 of the Regulations </w:t>
      </w:r>
      <w:bookmarkEnd w:id="1"/>
      <w:r>
        <w:rPr>
          <w:i/>
          <w:iCs/>
          <w:lang w:val="en-US"/>
        </w:rPr>
        <w:t>(stakeholder consultations):</w:t>
      </w:r>
    </w:p>
    <w:p>
      <w:pPr>
        <w:numPr>
          <w:ilvl w:val="0"/>
          <w:numId w:val="37"/>
        </w:numPr>
        <w:spacing w:before="0" w:line="240" w:lineRule="auto"/>
        <w:ind w:left="709"/>
        <w:rPr>
          <w:rFonts w:cs="Arial"/>
          <w:color w:val="000000"/>
          <w:szCs w:val="22"/>
        </w:rPr>
      </w:pPr>
      <w:r>
        <w:rPr>
          <w:rFonts w:eastAsia="Arial" w:cs="Arial"/>
          <w:szCs w:val="22"/>
        </w:rPr>
        <w:t>Relevant stakeholders shall be consulted regarding the Programme Component (excluding the Pre-defined Programme Component of the Association of Polish Cities). The stakeholder consultation is part of the Programme Component preparation process.</w:t>
      </w:r>
    </w:p>
    <w:p>
      <w:pPr>
        <w:numPr>
          <w:ilvl w:val="0"/>
          <w:numId w:val="37"/>
        </w:numPr>
        <w:spacing w:before="0" w:line="240" w:lineRule="auto"/>
        <w:ind w:left="709"/>
        <w:rPr>
          <w:rFonts w:eastAsia="Arial" w:cs="Arial"/>
          <w:szCs w:val="22"/>
        </w:rPr>
      </w:pPr>
      <w:r>
        <w:rPr>
          <w:rFonts w:eastAsia="Arial" w:cs="Arial"/>
          <w:szCs w:val="22"/>
        </w:rPr>
        <w:t>The purpose of the stakeholder consultation is to allow stakeholders to</w:t>
      </w:r>
    </w:p>
    <w:p>
      <w:pPr>
        <w:pStyle w:val="Paragraphedeliste"/>
        <w:numPr>
          <w:ilvl w:val="0"/>
          <w:numId w:val="45"/>
        </w:numPr>
        <w:spacing w:before="0" w:after="120" w:line="240" w:lineRule="auto"/>
        <w:rPr>
          <w:rFonts w:cs="Arial"/>
        </w:rPr>
      </w:pPr>
      <w:r>
        <w:rPr>
          <w:rFonts w:eastAsia="Arial" w:cs="Arial"/>
          <w:szCs w:val="22"/>
        </w:rPr>
        <w:t>assess the relevance, feasibility and inclusiveness, and</w:t>
      </w:r>
    </w:p>
    <w:p>
      <w:pPr>
        <w:pStyle w:val="Paragraphedeliste"/>
        <w:numPr>
          <w:ilvl w:val="0"/>
          <w:numId w:val="45"/>
        </w:numPr>
        <w:spacing w:before="0" w:after="120" w:line="240" w:lineRule="auto"/>
      </w:pPr>
      <w:r>
        <w:rPr>
          <w:rFonts w:eastAsia="Arial" w:cs="Arial"/>
          <w:szCs w:val="22"/>
        </w:rPr>
        <w:t>make recommendations for their improvement.</w:t>
      </w:r>
    </w:p>
    <w:p>
      <w:pPr>
        <w:numPr>
          <w:ilvl w:val="0"/>
          <w:numId w:val="37"/>
        </w:numPr>
        <w:spacing w:before="0" w:line="240" w:lineRule="auto"/>
        <w:ind w:left="709"/>
        <w:rPr>
          <w:rFonts w:eastAsia="Arial" w:cs="Arial"/>
          <w:szCs w:val="22"/>
        </w:rPr>
      </w:pPr>
      <w:r>
        <w:rPr>
          <w:rFonts w:eastAsia="Arial" w:cs="Arial"/>
          <w:szCs w:val="22"/>
        </w:rPr>
        <w:lastRenderedPageBreak/>
        <w:t>The stakeholder consultation shall be based on a meaningful participation by the main stakeholders, such as relevant national, regional and local authorities, academic institutions, civil society and private sector organisations.</w:t>
      </w:r>
    </w:p>
    <w:p>
      <w:pPr>
        <w:numPr>
          <w:ilvl w:val="0"/>
          <w:numId w:val="37"/>
        </w:numPr>
        <w:spacing w:before="0" w:line="240" w:lineRule="auto"/>
        <w:ind w:left="709"/>
        <w:rPr>
          <w:rFonts w:eastAsia="Arial" w:cs="Arial"/>
          <w:szCs w:val="22"/>
        </w:rPr>
      </w:pPr>
      <w:r>
        <w:rPr>
          <w:rFonts w:eastAsia="Arial" w:cs="Arial"/>
          <w:szCs w:val="22"/>
        </w:rPr>
        <w:t>The results of the stakeholder consultations shall be an integral part of the Programme Component.</w:t>
      </w:r>
    </w:p>
    <w:p>
      <w:pPr>
        <w:pStyle w:val="heading110"/>
        <w:tabs>
          <w:tab w:val="left" w:pos="4140"/>
        </w:tabs>
        <w:spacing w:before="0" w:beforeAutospacing="0" w:after="120" w:afterAutospacing="0" w:line="276" w:lineRule="auto"/>
        <w:rPr>
          <w:rFonts w:ascii="Arial" w:eastAsia="Times New Roman" w:hAnsi="Arial" w:cs="Arial"/>
          <w:lang w:val="en-GB" w:eastAsia="en-US"/>
        </w:rPr>
      </w:pPr>
    </w:p>
    <w:sectPr>
      <w:footerReference w:type="even" r:id="rId11"/>
      <w:footerReference w:type="default" r:id="rId12"/>
      <w:headerReference w:type="first" r:id="rId13"/>
      <w:type w:val="continuous"/>
      <w:pgSz w:w="11907" w:h="16840" w:code="9"/>
      <w:pgMar w:top="1418" w:right="1418" w:bottom="1418"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framePr w:wrap="around" w:vAnchor="text" w:hAnchor="margin" w:xAlign="center"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Pr>
        <w:rStyle w:val="Numrodepage"/>
        <w:rFonts w:ascii="Arial" w:hAnsi="Arial" w:cs="Arial"/>
        <w:noProof/>
      </w:rPr>
      <w:t>20</w:t>
    </w:r>
    <w:r>
      <w:rPr>
        <w:rStyle w:val="Numrodepage"/>
        <w:rFonts w:ascii="Arial" w:hAnsi="Arial" w:cs="Arial"/>
      </w:rPr>
      <w:fldChar w:fldCharType="end"/>
    </w:r>
  </w:p>
  <w:p>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EB"/>
    <w:multiLevelType w:val="hybridMultilevel"/>
    <w:tmpl w:val="F2D2EF10"/>
    <w:lvl w:ilvl="0" w:tplc="D728A95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F72DF1"/>
    <w:multiLevelType w:val="hybridMultilevel"/>
    <w:tmpl w:val="0EF297DC"/>
    <w:lvl w:ilvl="0" w:tplc="372C22B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A41A5B"/>
    <w:multiLevelType w:val="hybridMultilevel"/>
    <w:tmpl w:val="9FCA85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13C5E"/>
    <w:multiLevelType w:val="hybridMultilevel"/>
    <w:tmpl w:val="3DAC6C24"/>
    <w:lvl w:ilvl="0" w:tplc="D728A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51803"/>
    <w:multiLevelType w:val="hybridMultilevel"/>
    <w:tmpl w:val="966E63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76763"/>
    <w:multiLevelType w:val="multilevel"/>
    <w:tmpl w:val="C138F446"/>
    <w:lvl w:ilvl="0">
      <w:start w:val="1"/>
      <w:numFmt w:val="decimal"/>
      <w:lvlText w:val="Chapter %1"/>
      <w:lvlJc w:val="left"/>
      <w:pPr>
        <w:ind w:left="2268" w:hanging="2268"/>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icle %1.%2"/>
      <w:lvlJc w:val="left"/>
      <w:pPr>
        <w:ind w:left="11624" w:hanging="2268"/>
      </w:pPr>
      <w:rPr>
        <w:rFonts w:ascii="Arial" w:hAnsi="Arial" w:hint="default"/>
        <w:b/>
        <w:i w:val="0"/>
        <w:color w:val="000000" w:themeColor="text1"/>
        <w:sz w:val="22"/>
        <w:szCs w:val="22"/>
      </w:rPr>
    </w:lvl>
    <w:lvl w:ilvl="2">
      <w:start w:val="1"/>
      <w:numFmt w:val="decimal"/>
      <w:lvlRestart w:val="0"/>
      <w:lvlText w:val="Article %1.%2.%3"/>
      <w:lvlJc w:val="left"/>
      <w:pPr>
        <w:ind w:left="2268" w:hanging="2268"/>
      </w:pPr>
      <w:rPr>
        <w:rFonts w:ascii="Arial" w:hAnsi="Arial" w:hint="default"/>
        <w:b/>
        <w:i w:val="0"/>
        <w:sz w:val="22"/>
      </w:rPr>
    </w:lvl>
    <w:lvl w:ilvl="3">
      <w:start w:val="1"/>
      <w:numFmt w:val="decimal"/>
      <w:lvlRestart w:val="2"/>
      <w:lvlText w:val="%4."/>
      <w:lvlJc w:val="left"/>
      <w:pPr>
        <w:ind w:left="454" w:hanging="454"/>
      </w:pPr>
      <w:rPr>
        <w:rFonts w:hint="default"/>
        <w:b w:val="0"/>
        <w:i w:val="0"/>
        <w:sz w:val="22"/>
        <w:lang w:val="en-US"/>
      </w:rPr>
    </w:lvl>
    <w:lvl w:ilvl="4">
      <w:start w:val="1"/>
      <w:numFmt w:val="lowerLetter"/>
      <w:lvlText w:val="%5)"/>
      <w:lvlJc w:val="left"/>
      <w:pPr>
        <w:ind w:left="454" w:hanging="454"/>
      </w:pPr>
      <w:rPr>
        <w:rFonts w:ascii="Arial" w:hAnsi="Arial" w:hint="default"/>
        <w:sz w:val="22"/>
      </w:rPr>
    </w:lvl>
    <w:lvl w:ilvl="5">
      <w:start w:val="1"/>
      <w:numFmt w:val="lowerRoman"/>
      <w:lvlText w:val="(%6)"/>
      <w:lvlJc w:val="left"/>
      <w:pPr>
        <w:ind w:left="907" w:hanging="453"/>
      </w:pPr>
      <w:rPr>
        <w:rFonts w:ascii="Arial" w:hAnsi="Arial" w:hint="default"/>
        <w:sz w:val="22"/>
      </w:rPr>
    </w:lvl>
    <w:lvl w:ilvl="6">
      <w:start w:val="1"/>
      <w:numFmt w:val="decimal"/>
      <w:lvlText w:val="%7."/>
      <w:lvlJc w:val="left"/>
      <w:pPr>
        <w:ind w:left="3622" w:hanging="360"/>
      </w:pPr>
      <w:rPr>
        <w:rFonts w:hint="default"/>
      </w:rPr>
    </w:lvl>
    <w:lvl w:ilvl="7">
      <w:start w:val="1"/>
      <w:numFmt w:val="lowerLetter"/>
      <w:lvlText w:val="%8)"/>
      <w:lvlJc w:val="left"/>
      <w:pPr>
        <w:ind w:left="5291" w:hanging="360"/>
      </w:pPr>
      <w:rPr>
        <w:rFonts w:hint="default"/>
        <w:color w:val="000000" w:themeColor="text1"/>
      </w:rPr>
    </w:lvl>
    <w:lvl w:ilvl="8">
      <w:start w:val="1"/>
      <w:numFmt w:val="lowerRoman"/>
      <w:lvlText w:val="%9."/>
      <w:lvlJc w:val="left"/>
      <w:pPr>
        <w:ind w:left="5651" w:hanging="360"/>
      </w:pPr>
      <w:rPr>
        <w:rFonts w:hint="default"/>
      </w:rPr>
    </w:lvl>
  </w:abstractNum>
  <w:abstractNum w:abstractNumId="6" w15:restartNumberingAfterBreak="0">
    <w:nsid w:val="0C541E32"/>
    <w:multiLevelType w:val="multilevel"/>
    <w:tmpl w:val="4866E556"/>
    <w:lvl w:ilvl="0">
      <w:start w:val="1"/>
      <w:numFmt w:val="none"/>
      <w:lvlText w:val=""/>
      <w:lvlJc w:val="left"/>
      <w:pPr>
        <w:tabs>
          <w:tab w:val="num" w:pos="720"/>
        </w:tabs>
        <w:ind w:left="720" w:hanging="720"/>
      </w:pPr>
      <w:rPr>
        <w:rFonts w:hint="default"/>
      </w:rPr>
    </w:lvl>
    <w:lvl w:ilvl="1">
      <w:start w:val="1"/>
      <w:numFmt w:val="decimal"/>
      <w:pStyle w:val="Titre2"/>
      <w:lvlText w:val="%12.%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0E905C79"/>
    <w:multiLevelType w:val="multilevel"/>
    <w:tmpl w:val="7BA27C1E"/>
    <w:lvl w:ilvl="0">
      <w:start w:val="1"/>
      <w:numFmt w:val="none"/>
      <w:lvlText w:val=""/>
      <w:lvlJc w:val="left"/>
      <w:pPr>
        <w:tabs>
          <w:tab w:val="num" w:pos="720"/>
        </w:tabs>
        <w:ind w:left="720" w:hanging="720"/>
      </w:pPr>
      <w:rPr>
        <w:rFonts w:hint="default"/>
      </w:rPr>
    </w:lvl>
    <w:lvl w:ilvl="1">
      <w:start w:val="1"/>
      <w:numFmt w:val="decimal"/>
      <w:pStyle w:val="Titre4"/>
      <w:lvlText w:val="%14.%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0F101D54"/>
    <w:multiLevelType w:val="hybridMultilevel"/>
    <w:tmpl w:val="EC76FC3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FB5CCB"/>
    <w:multiLevelType w:val="hybridMultilevel"/>
    <w:tmpl w:val="21806D3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4506AFD"/>
    <w:multiLevelType w:val="hybridMultilevel"/>
    <w:tmpl w:val="81EA86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F951C7"/>
    <w:multiLevelType w:val="hybridMultilevel"/>
    <w:tmpl w:val="BA9A30FC"/>
    <w:lvl w:ilvl="0" w:tplc="A22ACAE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9040FE"/>
    <w:multiLevelType w:val="hybridMultilevel"/>
    <w:tmpl w:val="242AB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2171B6"/>
    <w:multiLevelType w:val="hybridMultilevel"/>
    <w:tmpl w:val="5D4EEAAC"/>
    <w:lvl w:ilvl="0" w:tplc="04150011">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C4405A6"/>
    <w:multiLevelType w:val="multilevel"/>
    <w:tmpl w:val="BA3AC89C"/>
    <w:lvl w:ilvl="0">
      <w:start w:val="1"/>
      <w:numFmt w:val="none"/>
      <w:lvlText w:val=""/>
      <w:lvlJc w:val="left"/>
      <w:pPr>
        <w:tabs>
          <w:tab w:val="num" w:pos="720"/>
        </w:tabs>
        <w:ind w:left="720" w:hanging="720"/>
      </w:pPr>
      <w:rPr>
        <w:rFonts w:hint="default"/>
      </w:rPr>
    </w:lvl>
    <w:lvl w:ilvl="1">
      <w:start w:val="1"/>
      <w:numFmt w:val="decimal"/>
      <w:pStyle w:val="Heading11"/>
      <w:lvlText w:val="%11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1E3B7008"/>
    <w:multiLevelType w:val="multilevel"/>
    <w:tmpl w:val="06288218"/>
    <w:lvl w:ilvl="0">
      <w:start w:val="1"/>
      <w:numFmt w:val="none"/>
      <w:lvlText w:val=""/>
      <w:lvlJc w:val="left"/>
      <w:pPr>
        <w:tabs>
          <w:tab w:val="num" w:pos="720"/>
        </w:tabs>
        <w:ind w:left="720" w:hanging="720"/>
      </w:pPr>
      <w:rPr>
        <w:rFonts w:hint="default"/>
      </w:rPr>
    </w:lvl>
    <w:lvl w:ilvl="1">
      <w:start w:val="1"/>
      <w:numFmt w:val="decimal"/>
      <w:pStyle w:val="Titre3"/>
      <w:lvlText w:val="%13.%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2017544F"/>
    <w:multiLevelType w:val="hybridMultilevel"/>
    <w:tmpl w:val="8A0ED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EB18F3"/>
    <w:multiLevelType w:val="hybridMultilevel"/>
    <w:tmpl w:val="CB226A8A"/>
    <w:lvl w:ilvl="0" w:tplc="04150011">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93040B1"/>
    <w:multiLevelType w:val="hybridMultilevel"/>
    <w:tmpl w:val="3A3A55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C00451F"/>
    <w:multiLevelType w:val="multilevel"/>
    <w:tmpl w:val="EB1C2C86"/>
    <w:lvl w:ilvl="0">
      <w:start w:val="1"/>
      <w:numFmt w:val="none"/>
      <w:lvlText w:val=""/>
      <w:lvlJc w:val="left"/>
      <w:pPr>
        <w:tabs>
          <w:tab w:val="num" w:pos="720"/>
        </w:tabs>
        <w:ind w:left="720" w:hanging="720"/>
      </w:pPr>
      <w:rPr>
        <w:rFonts w:hint="default"/>
      </w:rPr>
    </w:lvl>
    <w:lvl w:ilvl="1">
      <w:start w:val="1"/>
      <w:numFmt w:val="decimal"/>
      <w:pStyle w:val="Titre8"/>
      <w:lvlText w:val="%18.%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2E553E99"/>
    <w:multiLevelType w:val="hybridMultilevel"/>
    <w:tmpl w:val="8CEA608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1EE411A"/>
    <w:multiLevelType w:val="hybridMultilevel"/>
    <w:tmpl w:val="DCFE7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3603986"/>
    <w:multiLevelType w:val="hybridMultilevel"/>
    <w:tmpl w:val="DCFE7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3D22DDB"/>
    <w:multiLevelType w:val="hybridMultilevel"/>
    <w:tmpl w:val="BE1A888C"/>
    <w:lvl w:ilvl="0" w:tplc="E4CE783A">
      <w:start w:val="1"/>
      <w:numFmt w:val="decimal"/>
      <w:lvlText w:val="%1."/>
      <w:lvlJc w:val="left"/>
      <w:pPr>
        <w:ind w:left="1080" w:hanging="360"/>
      </w:pPr>
      <w:rPr>
        <w:rFonts w:ascii="Arial" w:eastAsia="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55206F"/>
    <w:multiLevelType w:val="hybridMultilevel"/>
    <w:tmpl w:val="4ED82A8A"/>
    <w:lvl w:ilvl="0" w:tplc="6D8E37F8">
      <w:start w:val="1"/>
      <w:numFmt w:val="lowerLetter"/>
      <w:lvlText w:val="%1)"/>
      <w:lvlJc w:val="left"/>
      <w:pPr>
        <w:ind w:left="360" w:hanging="360"/>
      </w:pPr>
      <w:rPr>
        <w:rFonts w:ascii="Arial" w:hAnsi="Arial" w:cs="Aria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6A80E97"/>
    <w:multiLevelType w:val="hybridMultilevel"/>
    <w:tmpl w:val="E078EAE6"/>
    <w:lvl w:ilvl="0" w:tplc="AEC2C9D0">
      <w:start w:val="1"/>
      <w:numFmt w:val="lowerLetter"/>
      <w:lvlText w:val="%1)"/>
      <w:lvlJc w:val="left"/>
      <w:pPr>
        <w:ind w:left="795" w:hanging="435"/>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4557A"/>
    <w:multiLevelType w:val="hybridMultilevel"/>
    <w:tmpl w:val="F9B89BB8"/>
    <w:lvl w:ilvl="0" w:tplc="656EAFA4">
      <w:start w:val="3"/>
      <w:numFmt w:val="lowerLetter"/>
      <w:lvlText w:val="%1)"/>
      <w:lvlJc w:val="left"/>
      <w:pPr>
        <w:tabs>
          <w:tab w:val="num" w:pos="720"/>
        </w:tabs>
        <w:ind w:left="720" w:hanging="360"/>
      </w:pPr>
    </w:lvl>
    <w:lvl w:ilvl="1" w:tplc="BA28476E" w:tentative="1">
      <w:start w:val="1"/>
      <w:numFmt w:val="lowerLetter"/>
      <w:lvlText w:val="%2)"/>
      <w:lvlJc w:val="left"/>
      <w:pPr>
        <w:tabs>
          <w:tab w:val="num" w:pos="1440"/>
        </w:tabs>
        <w:ind w:left="1440" w:hanging="360"/>
      </w:pPr>
    </w:lvl>
    <w:lvl w:ilvl="2" w:tplc="B158F0AA" w:tentative="1">
      <w:start w:val="1"/>
      <w:numFmt w:val="lowerLetter"/>
      <w:lvlText w:val="%3)"/>
      <w:lvlJc w:val="left"/>
      <w:pPr>
        <w:tabs>
          <w:tab w:val="num" w:pos="2160"/>
        </w:tabs>
        <w:ind w:left="2160" w:hanging="360"/>
      </w:pPr>
    </w:lvl>
    <w:lvl w:ilvl="3" w:tplc="35847D7C" w:tentative="1">
      <w:start w:val="1"/>
      <w:numFmt w:val="lowerLetter"/>
      <w:lvlText w:val="%4)"/>
      <w:lvlJc w:val="left"/>
      <w:pPr>
        <w:tabs>
          <w:tab w:val="num" w:pos="2880"/>
        </w:tabs>
        <w:ind w:left="2880" w:hanging="360"/>
      </w:pPr>
    </w:lvl>
    <w:lvl w:ilvl="4" w:tplc="9F3EA570" w:tentative="1">
      <w:start w:val="1"/>
      <w:numFmt w:val="lowerLetter"/>
      <w:lvlText w:val="%5)"/>
      <w:lvlJc w:val="left"/>
      <w:pPr>
        <w:tabs>
          <w:tab w:val="num" w:pos="3600"/>
        </w:tabs>
        <w:ind w:left="3600" w:hanging="360"/>
      </w:pPr>
    </w:lvl>
    <w:lvl w:ilvl="5" w:tplc="6A0CB66A" w:tentative="1">
      <w:start w:val="1"/>
      <w:numFmt w:val="lowerLetter"/>
      <w:lvlText w:val="%6)"/>
      <w:lvlJc w:val="left"/>
      <w:pPr>
        <w:tabs>
          <w:tab w:val="num" w:pos="4320"/>
        </w:tabs>
        <w:ind w:left="4320" w:hanging="360"/>
      </w:pPr>
    </w:lvl>
    <w:lvl w:ilvl="6" w:tplc="9786929C" w:tentative="1">
      <w:start w:val="1"/>
      <w:numFmt w:val="lowerLetter"/>
      <w:lvlText w:val="%7)"/>
      <w:lvlJc w:val="left"/>
      <w:pPr>
        <w:tabs>
          <w:tab w:val="num" w:pos="5040"/>
        </w:tabs>
        <w:ind w:left="5040" w:hanging="360"/>
      </w:pPr>
    </w:lvl>
    <w:lvl w:ilvl="7" w:tplc="DF80F484" w:tentative="1">
      <w:start w:val="1"/>
      <w:numFmt w:val="lowerLetter"/>
      <w:lvlText w:val="%8)"/>
      <w:lvlJc w:val="left"/>
      <w:pPr>
        <w:tabs>
          <w:tab w:val="num" w:pos="5760"/>
        </w:tabs>
        <w:ind w:left="5760" w:hanging="360"/>
      </w:pPr>
    </w:lvl>
    <w:lvl w:ilvl="8" w:tplc="2C422778" w:tentative="1">
      <w:start w:val="1"/>
      <w:numFmt w:val="lowerLetter"/>
      <w:lvlText w:val="%9)"/>
      <w:lvlJc w:val="left"/>
      <w:pPr>
        <w:tabs>
          <w:tab w:val="num" w:pos="6480"/>
        </w:tabs>
        <w:ind w:left="6480" w:hanging="360"/>
      </w:pPr>
    </w:lvl>
  </w:abstractNum>
  <w:abstractNum w:abstractNumId="27" w15:restartNumberingAfterBreak="0">
    <w:nsid w:val="3C7C144B"/>
    <w:multiLevelType w:val="hybridMultilevel"/>
    <w:tmpl w:val="DCFE7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1A465DC"/>
    <w:multiLevelType w:val="hybridMultilevel"/>
    <w:tmpl w:val="EC76FC3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4F10566"/>
    <w:multiLevelType w:val="hybridMultilevel"/>
    <w:tmpl w:val="8CCE1E4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465A2E08"/>
    <w:multiLevelType w:val="hybridMultilevel"/>
    <w:tmpl w:val="5FBE592A"/>
    <w:lvl w:ilvl="0" w:tplc="0807000F">
      <w:start w:val="1"/>
      <w:numFmt w:val="decimal"/>
      <w:lvlText w:val="%1."/>
      <w:lvlJc w:val="left"/>
      <w:pPr>
        <w:ind w:left="428" w:hanging="360"/>
      </w:pPr>
      <w:rPr>
        <w:rFonts w:hint="default"/>
      </w:rPr>
    </w:lvl>
    <w:lvl w:ilvl="1" w:tplc="08070019" w:tentative="1">
      <w:start w:val="1"/>
      <w:numFmt w:val="lowerLetter"/>
      <w:lvlText w:val="%2."/>
      <w:lvlJc w:val="left"/>
      <w:pPr>
        <w:ind w:left="1148" w:hanging="360"/>
      </w:pPr>
    </w:lvl>
    <w:lvl w:ilvl="2" w:tplc="0807001B" w:tentative="1">
      <w:start w:val="1"/>
      <w:numFmt w:val="lowerRoman"/>
      <w:lvlText w:val="%3."/>
      <w:lvlJc w:val="right"/>
      <w:pPr>
        <w:ind w:left="1868" w:hanging="180"/>
      </w:pPr>
    </w:lvl>
    <w:lvl w:ilvl="3" w:tplc="0807000F" w:tentative="1">
      <w:start w:val="1"/>
      <w:numFmt w:val="decimal"/>
      <w:lvlText w:val="%4."/>
      <w:lvlJc w:val="left"/>
      <w:pPr>
        <w:ind w:left="2588" w:hanging="360"/>
      </w:pPr>
    </w:lvl>
    <w:lvl w:ilvl="4" w:tplc="08070019" w:tentative="1">
      <w:start w:val="1"/>
      <w:numFmt w:val="lowerLetter"/>
      <w:lvlText w:val="%5."/>
      <w:lvlJc w:val="left"/>
      <w:pPr>
        <w:ind w:left="3308" w:hanging="360"/>
      </w:pPr>
    </w:lvl>
    <w:lvl w:ilvl="5" w:tplc="0807001B" w:tentative="1">
      <w:start w:val="1"/>
      <w:numFmt w:val="lowerRoman"/>
      <w:lvlText w:val="%6."/>
      <w:lvlJc w:val="right"/>
      <w:pPr>
        <w:ind w:left="4028" w:hanging="180"/>
      </w:pPr>
    </w:lvl>
    <w:lvl w:ilvl="6" w:tplc="0807000F" w:tentative="1">
      <w:start w:val="1"/>
      <w:numFmt w:val="decimal"/>
      <w:lvlText w:val="%7."/>
      <w:lvlJc w:val="left"/>
      <w:pPr>
        <w:ind w:left="4748" w:hanging="360"/>
      </w:pPr>
    </w:lvl>
    <w:lvl w:ilvl="7" w:tplc="08070019" w:tentative="1">
      <w:start w:val="1"/>
      <w:numFmt w:val="lowerLetter"/>
      <w:lvlText w:val="%8."/>
      <w:lvlJc w:val="left"/>
      <w:pPr>
        <w:ind w:left="5468" w:hanging="360"/>
      </w:pPr>
    </w:lvl>
    <w:lvl w:ilvl="8" w:tplc="0807001B" w:tentative="1">
      <w:start w:val="1"/>
      <w:numFmt w:val="lowerRoman"/>
      <w:lvlText w:val="%9."/>
      <w:lvlJc w:val="right"/>
      <w:pPr>
        <w:ind w:left="6188" w:hanging="180"/>
      </w:pPr>
    </w:lvl>
  </w:abstractNum>
  <w:abstractNum w:abstractNumId="31" w15:restartNumberingAfterBreak="0">
    <w:nsid w:val="469C0D86"/>
    <w:multiLevelType w:val="hybridMultilevel"/>
    <w:tmpl w:val="0EF297DC"/>
    <w:lvl w:ilvl="0" w:tplc="372C22B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9CBB126"/>
    <w:multiLevelType w:val="hybridMultilevel"/>
    <w:tmpl w:val="B8D071FA"/>
    <w:lvl w:ilvl="0" w:tplc="F67C9E3A">
      <w:start w:val="1"/>
      <w:numFmt w:val="decimal"/>
      <w:lvlText w:val="%1."/>
      <w:lvlJc w:val="left"/>
      <w:pPr>
        <w:ind w:left="720" w:hanging="360"/>
      </w:pPr>
      <w:rPr>
        <w:rFonts w:ascii="Arial" w:hAnsi="Arial" w:cs="Arial" w:hint="default"/>
      </w:rPr>
    </w:lvl>
    <w:lvl w:ilvl="1" w:tplc="A058E8C8">
      <w:start w:val="1"/>
      <w:numFmt w:val="lowerLetter"/>
      <w:lvlText w:val="%2."/>
      <w:lvlJc w:val="left"/>
      <w:pPr>
        <w:ind w:left="1440" w:hanging="360"/>
      </w:pPr>
    </w:lvl>
    <w:lvl w:ilvl="2" w:tplc="C052BD18">
      <w:start w:val="1"/>
      <w:numFmt w:val="lowerRoman"/>
      <w:lvlText w:val="%3."/>
      <w:lvlJc w:val="right"/>
      <w:pPr>
        <w:ind w:left="2160" w:hanging="180"/>
      </w:pPr>
    </w:lvl>
    <w:lvl w:ilvl="3" w:tplc="F09E7AA4">
      <w:start w:val="1"/>
      <w:numFmt w:val="decimal"/>
      <w:lvlText w:val="%4."/>
      <w:lvlJc w:val="left"/>
      <w:pPr>
        <w:ind w:left="2880" w:hanging="360"/>
      </w:pPr>
    </w:lvl>
    <w:lvl w:ilvl="4" w:tplc="5B343D8E">
      <w:start w:val="1"/>
      <w:numFmt w:val="lowerLetter"/>
      <w:lvlText w:val="%5."/>
      <w:lvlJc w:val="left"/>
      <w:pPr>
        <w:ind w:left="3600" w:hanging="360"/>
      </w:pPr>
    </w:lvl>
    <w:lvl w:ilvl="5" w:tplc="F4EECF34">
      <w:start w:val="1"/>
      <w:numFmt w:val="lowerRoman"/>
      <w:lvlText w:val="%6."/>
      <w:lvlJc w:val="right"/>
      <w:pPr>
        <w:ind w:left="4320" w:hanging="180"/>
      </w:pPr>
    </w:lvl>
    <w:lvl w:ilvl="6" w:tplc="9AD687B6">
      <w:start w:val="1"/>
      <w:numFmt w:val="decimal"/>
      <w:lvlText w:val="%7."/>
      <w:lvlJc w:val="left"/>
      <w:pPr>
        <w:ind w:left="5040" w:hanging="360"/>
      </w:pPr>
    </w:lvl>
    <w:lvl w:ilvl="7" w:tplc="C9185AE2">
      <w:start w:val="1"/>
      <w:numFmt w:val="lowerLetter"/>
      <w:lvlText w:val="%8."/>
      <w:lvlJc w:val="left"/>
      <w:pPr>
        <w:ind w:left="5760" w:hanging="360"/>
      </w:pPr>
    </w:lvl>
    <w:lvl w:ilvl="8" w:tplc="FE5A7C90">
      <w:start w:val="1"/>
      <w:numFmt w:val="lowerRoman"/>
      <w:lvlText w:val="%9."/>
      <w:lvlJc w:val="right"/>
      <w:pPr>
        <w:ind w:left="6480" w:hanging="180"/>
      </w:pPr>
    </w:lvl>
  </w:abstractNum>
  <w:abstractNum w:abstractNumId="33" w15:restartNumberingAfterBreak="0">
    <w:nsid w:val="4A5E3DC4"/>
    <w:multiLevelType w:val="hybridMultilevel"/>
    <w:tmpl w:val="83CCCD8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2AC629F"/>
    <w:multiLevelType w:val="hybridMultilevel"/>
    <w:tmpl w:val="9790FADC"/>
    <w:lvl w:ilvl="0" w:tplc="EFFA0A7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5920426"/>
    <w:multiLevelType w:val="multilevel"/>
    <w:tmpl w:val="15A47D56"/>
    <w:lvl w:ilvl="0">
      <w:start w:val="1"/>
      <w:numFmt w:val="none"/>
      <w:lvlText w:val=""/>
      <w:lvlJc w:val="left"/>
      <w:pPr>
        <w:tabs>
          <w:tab w:val="num" w:pos="720"/>
        </w:tabs>
        <w:ind w:left="720" w:hanging="720"/>
      </w:pPr>
      <w:rPr>
        <w:rFonts w:hint="default"/>
      </w:rPr>
    </w:lvl>
    <w:lvl w:ilvl="1">
      <w:start w:val="1"/>
      <w:numFmt w:val="decimal"/>
      <w:pStyle w:val="Titre5"/>
      <w:lvlText w:val="%15.%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15:restartNumberingAfterBreak="0">
    <w:nsid w:val="568B6334"/>
    <w:multiLevelType w:val="hybridMultilevel"/>
    <w:tmpl w:val="34F2B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CA7B36"/>
    <w:multiLevelType w:val="hybridMultilevel"/>
    <w:tmpl w:val="0D9EA86E"/>
    <w:lvl w:ilvl="0" w:tplc="D728A958">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8" w15:restartNumberingAfterBreak="0">
    <w:nsid w:val="59C932C6"/>
    <w:multiLevelType w:val="hybridMultilevel"/>
    <w:tmpl w:val="3200BA9E"/>
    <w:lvl w:ilvl="0" w:tplc="0807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E23353E"/>
    <w:multiLevelType w:val="hybridMultilevel"/>
    <w:tmpl w:val="828A80E0"/>
    <w:lvl w:ilvl="0" w:tplc="04150011">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13D1EA8"/>
    <w:multiLevelType w:val="hybridMultilevel"/>
    <w:tmpl w:val="3CF8616E"/>
    <w:lvl w:ilvl="0" w:tplc="163EC216">
      <w:start w:val="1"/>
      <w:numFmt w:val="low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5647E3F"/>
    <w:multiLevelType w:val="multilevel"/>
    <w:tmpl w:val="3F1A413A"/>
    <w:lvl w:ilvl="0">
      <w:start w:val="1"/>
      <w:numFmt w:val="none"/>
      <w:lvlText w:val=""/>
      <w:lvlJc w:val="left"/>
      <w:pPr>
        <w:tabs>
          <w:tab w:val="num" w:pos="720"/>
        </w:tabs>
        <w:ind w:left="720" w:hanging="720"/>
      </w:pPr>
      <w:rPr>
        <w:rFonts w:hint="default"/>
      </w:rPr>
    </w:lvl>
    <w:lvl w:ilvl="1">
      <w:start w:val="1"/>
      <w:numFmt w:val="decimal"/>
      <w:pStyle w:val="Titre7"/>
      <w:lvlText w:val="%17.%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2" w15:restartNumberingAfterBreak="0">
    <w:nsid w:val="66FE5F35"/>
    <w:multiLevelType w:val="hybridMultilevel"/>
    <w:tmpl w:val="745A3544"/>
    <w:lvl w:ilvl="0" w:tplc="D31421B8">
      <w:start w:val="1"/>
      <w:numFmt w:val="lowerLetter"/>
      <w:lvlText w:val="%1)"/>
      <w:lvlJc w:val="left"/>
      <w:pPr>
        <w:tabs>
          <w:tab w:val="num" w:pos="159"/>
        </w:tabs>
        <w:ind w:left="159" w:hanging="360"/>
      </w:pPr>
    </w:lvl>
    <w:lvl w:ilvl="1" w:tplc="E3D60DDC" w:tentative="1">
      <w:start w:val="1"/>
      <w:numFmt w:val="lowerLetter"/>
      <w:lvlText w:val="%2)"/>
      <w:lvlJc w:val="left"/>
      <w:pPr>
        <w:tabs>
          <w:tab w:val="num" w:pos="879"/>
        </w:tabs>
        <w:ind w:left="879" w:hanging="360"/>
      </w:pPr>
    </w:lvl>
    <w:lvl w:ilvl="2" w:tplc="11648172" w:tentative="1">
      <w:start w:val="1"/>
      <w:numFmt w:val="lowerLetter"/>
      <w:lvlText w:val="%3)"/>
      <w:lvlJc w:val="left"/>
      <w:pPr>
        <w:tabs>
          <w:tab w:val="num" w:pos="1599"/>
        </w:tabs>
        <w:ind w:left="1599" w:hanging="360"/>
      </w:pPr>
    </w:lvl>
    <w:lvl w:ilvl="3" w:tplc="63F89D86" w:tentative="1">
      <w:start w:val="1"/>
      <w:numFmt w:val="lowerLetter"/>
      <w:lvlText w:val="%4)"/>
      <w:lvlJc w:val="left"/>
      <w:pPr>
        <w:tabs>
          <w:tab w:val="num" w:pos="2319"/>
        </w:tabs>
        <w:ind w:left="2319" w:hanging="360"/>
      </w:pPr>
    </w:lvl>
    <w:lvl w:ilvl="4" w:tplc="9D263810" w:tentative="1">
      <w:start w:val="1"/>
      <w:numFmt w:val="lowerLetter"/>
      <w:lvlText w:val="%5)"/>
      <w:lvlJc w:val="left"/>
      <w:pPr>
        <w:tabs>
          <w:tab w:val="num" w:pos="3039"/>
        </w:tabs>
        <w:ind w:left="3039" w:hanging="360"/>
      </w:pPr>
    </w:lvl>
    <w:lvl w:ilvl="5" w:tplc="28DCC3F0" w:tentative="1">
      <w:start w:val="1"/>
      <w:numFmt w:val="lowerLetter"/>
      <w:lvlText w:val="%6)"/>
      <w:lvlJc w:val="left"/>
      <w:pPr>
        <w:tabs>
          <w:tab w:val="num" w:pos="3759"/>
        </w:tabs>
        <w:ind w:left="3759" w:hanging="360"/>
      </w:pPr>
    </w:lvl>
    <w:lvl w:ilvl="6" w:tplc="75CA445C" w:tentative="1">
      <w:start w:val="1"/>
      <w:numFmt w:val="lowerLetter"/>
      <w:lvlText w:val="%7)"/>
      <w:lvlJc w:val="left"/>
      <w:pPr>
        <w:tabs>
          <w:tab w:val="num" w:pos="4479"/>
        </w:tabs>
        <w:ind w:left="4479" w:hanging="360"/>
      </w:pPr>
    </w:lvl>
    <w:lvl w:ilvl="7" w:tplc="EBFA96D8" w:tentative="1">
      <w:start w:val="1"/>
      <w:numFmt w:val="lowerLetter"/>
      <w:lvlText w:val="%8)"/>
      <w:lvlJc w:val="left"/>
      <w:pPr>
        <w:tabs>
          <w:tab w:val="num" w:pos="5199"/>
        </w:tabs>
        <w:ind w:left="5199" w:hanging="360"/>
      </w:pPr>
    </w:lvl>
    <w:lvl w:ilvl="8" w:tplc="6E485826" w:tentative="1">
      <w:start w:val="1"/>
      <w:numFmt w:val="lowerLetter"/>
      <w:lvlText w:val="%9)"/>
      <w:lvlJc w:val="left"/>
      <w:pPr>
        <w:tabs>
          <w:tab w:val="num" w:pos="5919"/>
        </w:tabs>
        <w:ind w:left="5919" w:hanging="360"/>
      </w:pPr>
    </w:lvl>
  </w:abstractNum>
  <w:abstractNum w:abstractNumId="43" w15:restartNumberingAfterBreak="0">
    <w:nsid w:val="68363CB8"/>
    <w:multiLevelType w:val="hybridMultilevel"/>
    <w:tmpl w:val="0748D14C"/>
    <w:lvl w:ilvl="0" w:tplc="C810C6E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3555EB"/>
    <w:multiLevelType w:val="multilevel"/>
    <w:tmpl w:val="32CAD1D2"/>
    <w:lvl w:ilvl="0">
      <w:start w:val="1"/>
      <w:numFmt w:val="decimal"/>
      <w:lvlText w:val="%1."/>
      <w:lvlJc w:val="left"/>
      <w:pPr>
        <w:ind w:left="644" w:hanging="360"/>
      </w:pPr>
    </w:lvl>
    <w:lvl w:ilvl="1">
      <w:start w:val="1"/>
      <w:numFmt w:val="decimal"/>
      <w:lvlText w:val="%1.%2."/>
      <w:lvlJc w:val="left"/>
      <w:pPr>
        <w:ind w:left="2560" w:hanging="432"/>
      </w:pPr>
      <w:rPr>
        <w:b/>
        <w:bCs/>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5" w15:restartNumberingAfterBreak="0">
    <w:nsid w:val="69BF1B81"/>
    <w:multiLevelType w:val="hybridMultilevel"/>
    <w:tmpl w:val="3050D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5C7FF1"/>
    <w:multiLevelType w:val="hybridMultilevel"/>
    <w:tmpl w:val="1CC86EB6"/>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1080" w:hanging="360"/>
      </w:pPr>
      <w:rPr>
        <w:rFonts w:ascii="Wingdings" w:hAnsi="Wingdings" w:hint="default"/>
      </w:rPr>
    </w:lvl>
    <w:lvl w:ilvl="3" w:tplc="08070001" w:tentative="1">
      <w:start w:val="1"/>
      <w:numFmt w:val="bullet"/>
      <w:lvlText w:val=""/>
      <w:lvlJc w:val="left"/>
      <w:pPr>
        <w:ind w:left="-360" w:hanging="360"/>
      </w:pPr>
      <w:rPr>
        <w:rFonts w:ascii="Symbol" w:hAnsi="Symbol" w:hint="default"/>
      </w:rPr>
    </w:lvl>
    <w:lvl w:ilvl="4" w:tplc="08070003" w:tentative="1">
      <w:start w:val="1"/>
      <w:numFmt w:val="bullet"/>
      <w:lvlText w:val="o"/>
      <w:lvlJc w:val="left"/>
      <w:pPr>
        <w:ind w:left="360" w:hanging="360"/>
      </w:pPr>
      <w:rPr>
        <w:rFonts w:ascii="Courier New" w:hAnsi="Courier New" w:cs="Courier New" w:hint="default"/>
      </w:rPr>
    </w:lvl>
    <w:lvl w:ilvl="5" w:tplc="08070005" w:tentative="1">
      <w:start w:val="1"/>
      <w:numFmt w:val="bullet"/>
      <w:lvlText w:val=""/>
      <w:lvlJc w:val="left"/>
      <w:pPr>
        <w:ind w:left="1080" w:hanging="360"/>
      </w:pPr>
      <w:rPr>
        <w:rFonts w:ascii="Wingdings" w:hAnsi="Wingdings" w:hint="default"/>
      </w:rPr>
    </w:lvl>
    <w:lvl w:ilvl="6" w:tplc="08070001" w:tentative="1">
      <w:start w:val="1"/>
      <w:numFmt w:val="bullet"/>
      <w:lvlText w:val=""/>
      <w:lvlJc w:val="left"/>
      <w:pPr>
        <w:ind w:left="1800" w:hanging="360"/>
      </w:pPr>
      <w:rPr>
        <w:rFonts w:ascii="Symbol" w:hAnsi="Symbol" w:hint="default"/>
      </w:rPr>
    </w:lvl>
    <w:lvl w:ilvl="7" w:tplc="08070003" w:tentative="1">
      <w:start w:val="1"/>
      <w:numFmt w:val="bullet"/>
      <w:lvlText w:val="o"/>
      <w:lvlJc w:val="left"/>
      <w:pPr>
        <w:ind w:left="2520" w:hanging="360"/>
      </w:pPr>
      <w:rPr>
        <w:rFonts w:ascii="Courier New" w:hAnsi="Courier New" w:cs="Courier New" w:hint="default"/>
      </w:rPr>
    </w:lvl>
    <w:lvl w:ilvl="8" w:tplc="08070005" w:tentative="1">
      <w:start w:val="1"/>
      <w:numFmt w:val="bullet"/>
      <w:lvlText w:val=""/>
      <w:lvlJc w:val="left"/>
      <w:pPr>
        <w:ind w:left="3240" w:hanging="360"/>
      </w:pPr>
      <w:rPr>
        <w:rFonts w:ascii="Wingdings" w:hAnsi="Wingdings" w:hint="default"/>
      </w:rPr>
    </w:lvl>
  </w:abstractNum>
  <w:abstractNum w:abstractNumId="47" w15:restartNumberingAfterBreak="0">
    <w:nsid w:val="6DCF6FA1"/>
    <w:multiLevelType w:val="hybridMultilevel"/>
    <w:tmpl w:val="64FED592"/>
    <w:lvl w:ilvl="0" w:tplc="D98C56E6">
      <w:start w:val="1"/>
      <w:numFmt w:val="decimal"/>
      <w:lvlText w:val="%1."/>
      <w:lvlJc w:val="left"/>
      <w:pPr>
        <w:ind w:left="360" w:hanging="360"/>
      </w:pPr>
      <w:rPr>
        <w:rFonts w:hint="default"/>
        <w:i/>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8" w15:restartNumberingAfterBreak="0">
    <w:nsid w:val="6F54319B"/>
    <w:multiLevelType w:val="hybridMultilevel"/>
    <w:tmpl w:val="C62AA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607E5C"/>
    <w:multiLevelType w:val="hybridMultilevel"/>
    <w:tmpl w:val="A23C6034"/>
    <w:lvl w:ilvl="0" w:tplc="2DD24A62">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74826EC9"/>
    <w:multiLevelType w:val="hybridMultilevel"/>
    <w:tmpl w:val="4ED82A8A"/>
    <w:lvl w:ilvl="0" w:tplc="6D8E37F8">
      <w:start w:val="1"/>
      <w:numFmt w:val="lowerLetter"/>
      <w:lvlText w:val="%1)"/>
      <w:lvlJc w:val="left"/>
      <w:pPr>
        <w:ind w:left="360" w:hanging="360"/>
      </w:pPr>
      <w:rPr>
        <w:rFonts w:ascii="Arial" w:hAnsi="Arial" w:cs="Aria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15:restartNumberingAfterBreak="0">
    <w:nsid w:val="75311E34"/>
    <w:multiLevelType w:val="multilevel"/>
    <w:tmpl w:val="C28CE8FE"/>
    <w:lvl w:ilvl="0">
      <w:start w:val="1"/>
      <w:numFmt w:val="none"/>
      <w:lvlText w:val=""/>
      <w:lvlJc w:val="left"/>
      <w:pPr>
        <w:tabs>
          <w:tab w:val="num" w:pos="720"/>
        </w:tabs>
        <w:ind w:left="720" w:hanging="720"/>
      </w:pPr>
      <w:rPr>
        <w:rFonts w:hint="default"/>
      </w:rPr>
    </w:lvl>
    <w:lvl w:ilvl="1">
      <w:start w:val="1"/>
      <w:numFmt w:val="decimal"/>
      <w:pStyle w:val="Titre6"/>
      <w:lvlText w:val="%16.%2."/>
      <w:lvlJc w:val="left"/>
      <w:pPr>
        <w:tabs>
          <w:tab w:val="num" w:pos="567"/>
        </w:tabs>
        <w:ind w:left="567" w:hanging="567"/>
      </w:pPr>
      <w:rPr>
        <w:rFonts w:hint="default"/>
        <w:i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2" w15:restartNumberingAfterBreak="0">
    <w:nsid w:val="75451F87"/>
    <w:multiLevelType w:val="hybridMultilevel"/>
    <w:tmpl w:val="8B68A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304DF8"/>
    <w:multiLevelType w:val="hybridMultilevel"/>
    <w:tmpl w:val="5FBE592A"/>
    <w:lvl w:ilvl="0" w:tplc="0807000F">
      <w:start w:val="1"/>
      <w:numFmt w:val="decimal"/>
      <w:lvlText w:val="%1."/>
      <w:lvlJc w:val="left"/>
      <w:pPr>
        <w:ind w:left="428" w:hanging="360"/>
      </w:pPr>
      <w:rPr>
        <w:rFonts w:hint="default"/>
      </w:rPr>
    </w:lvl>
    <w:lvl w:ilvl="1" w:tplc="08070019">
      <w:start w:val="1"/>
      <w:numFmt w:val="lowerLetter"/>
      <w:lvlText w:val="%2."/>
      <w:lvlJc w:val="left"/>
      <w:pPr>
        <w:ind w:left="1148" w:hanging="360"/>
      </w:pPr>
    </w:lvl>
    <w:lvl w:ilvl="2" w:tplc="0807001B" w:tentative="1">
      <w:start w:val="1"/>
      <w:numFmt w:val="lowerRoman"/>
      <w:lvlText w:val="%3."/>
      <w:lvlJc w:val="right"/>
      <w:pPr>
        <w:ind w:left="1868" w:hanging="180"/>
      </w:pPr>
    </w:lvl>
    <w:lvl w:ilvl="3" w:tplc="0807000F" w:tentative="1">
      <w:start w:val="1"/>
      <w:numFmt w:val="decimal"/>
      <w:lvlText w:val="%4."/>
      <w:lvlJc w:val="left"/>
      <w:pPr>
        <w:ind w:left="2588" w:hanging="360"/>
      </w:pPr>
    </w:lvl>
    <w:lvl w:ilvl="4" w:tplc="08070019" w:tentative="1">
      <w:start w:val="1"/>
      <w:numFmt w:val="lowerLetter"/>
      <w:lvlText w:val="%5."/>
      <w:lvlJc w:val="left"/>
      <w:pPr>
        <w:ind w:left="3308" w:hanging="360"/>
      </w:pPr>
    </w:lvl>
    <w:lvl w:ilvl="5" w:tplc="0807001B" w:tentative="1">
      <w:start w:val="1"/>
      <w:numFmt w:val="lowerRoman"/>
      <w:lvlText w:val="%6."/>
      <w:lvlJc w:val="right"/>
      <w:pPr>
        <w:ind w:left="4028" w:hanging="180"/>
      </w:pPr>
    </w:lvl>
    <w:lvl w:ilvl="6" w:tplc="0807000F" w:tentative="1">
      <w:start w:val="1"/>
      <w:numFmt w:val="decimal"/>
      <w:lvlText w:val="%7."/>
      <w:lvlJc w:val="left"/>
      <w:pPr>
        <w:ind w:left="4748" w:hanging="360"/>
      </w:pPr>
    </w:lvl>
    <w:lvl w:ilvl="7" w:tplc="08070019" w:tentative="1">
      <w:start w:val="1"/>
      <w:numFmt w:val="lowerLetter"/>
      <w:lvlText w:val="%8."/>
      <w:lvlJc w:val="left"/>
      <w:pPr>
        <w:ind w:left="5468" w:hanging="360"/>
      </w:pPr>
    </w:lvl>
    <w:lvl w:ilvl="8" w:tplc="0807001B" w:tentative="1">
      <w:start w:val="1"/>
      <w:numFmt w:val="lowerRoman"/>
      <w:lvlText w:val="%9."/>
      <w:lvlJc w:val="right"/>
      <w:pPr>
        <w:ind w:left="6188" w:hanging="180"/>
      </w:pPr>
    </w:lvl>
  </w:abstractNum>
  <w:num w:numId="1">
    <w:abstractNumId w:val="6"/>
  </w:num>
  <w:num w:numId="2">
    <w:abstractNumId w:val="15"/>
  </w:num>
  <w:num w:numId="3">
    <w:abstractNumId w:val="7"/>
  </w:num>
  <w:num w:numId="4">
    <w:abstractNumId w:val="35"/>
  </w:num>
  <w:num w:numId="5">
    <w:abstractNumId w:val="51"/>
  </w:num>
  <w:num w:numId="6">
    <w:abstractNumId w:val="41"/>
  </w:num>
  <w:num w:numId="7">
    <w:abstractNumId w:val="19"/>
  </w:num>
  <w:num w:numId="8">
    <w:abstractNumId w:val="14"/>
  </w:num>
  <w:num w:numId="9">
    <w:abstractNumId w:val="24"/>
  </w:num>
  <w:num w:numId="10">
    <w:abstractNumId w:val="28"/>
  </w:num>
  <w:num w:numId="11">
    <w:abstractNumId w:val="34"/>
  </w:num>
  <w:num w:numId="12">
    <w:abstractNumId w:val="22"/>
  </w:num>
  <w:num w:numId="13">
    <w:abstractNumId w:val="2"/>
  </w:num>
  <w:num w:numId="14">
    <w:abstractNumId w:val="8"/>
  </w:num>
  <w:num w:numId="15">
    <w:abstractNumId w:val="36"/>
  </w:num>
  <w:num w:numId="16">
    <w:abstractNumId w:val="45"/>
  </w:num>
  <w:num w:numId="17">
    <w:abstractNumId w:val="52"/>
  </w:num>
  <w:num w:numId="18">
    <w:abstractNumId w:val="17"/>
  </w:num>
  <w:num w:numId="19">
    <w:abstractNumId w:val="13"/>
  </w:num>
  <w:num w:numId="20">
    <w:abstractNumId w:val="39"/>
  </w:num>
  <w:num w:numId="21">
    <w:abstractNumId w:val="0"/>
  </w:num>
  <w:num w:numId="22">
    <w:abstractNumId w:val="3"/>
  </w:num>
  <w:num w:numId="23">
    <w:abstractNumId w:val="5"/>
  </w:num>
  <w:num w:numId="24">
    <w:abstractNumId w:val="37"/>
  </w:num>
  <w:num w:numId="25">
    <w:abstractNumId w:val="32"/>
  </w:num>
  <w:num w:numId="26">
    <w:abstractNumId w:val="44"/>
  </w:num>
  <w:num w:numId="27">
    <w:abstractNumId w:val="40"/>
  </w:num>
  <w:num w:numId="28">
    <w:abstractNumId w:val="18"/>
  </w:num>
  <w:num w:numId="29">
    <w:abstractNumId w:val="47"/>
  </w:num>
  <w:num w:numId="30">
    <w:abstractNumId w:val="10"/>
  </w:num>
  <w:num w:numId="31">
    <w:abstractNumId w:val="48"/>
  </w:num>
  <w:num w:numId="32">
    <w:abstractNumId w:val="42"/>
  </w:num>
  <w:num w:numId="33">
    <w:abstractNumId w:val="16"/>
  </w:num>
  <w:num w:numId="34">
    <w:abstractNumId w:val="9"/>
  </w:num>
  <w:num w:numId="35">
    <w:abstractNumId w:val="46"/>
  </w:num>
  <w:num w:numId="36">
    <w:abstractNumId w:val="30"/>
  </w:num>
  <w:num w:numId="37">
    <w:abstractNumId w:val="53"/>
  </w:num>
  <w:num w:numId="38">
    <w:abstractNumId w:val="33"/>
  </w:num>
  <w:num w:numId="39">
    <w:abstractNumId w:val="29"/>
  </w:num>
  <w:num w:numId="40">
    <w:abstractNumId w:val="4"/>
  </w:num>
  <w:num w:numId="41">
    <w:abstractNumId w:val="27"/>
  </w:num>
  <w:num w:numId="42">
    <w:abstractNumId w:val="21"/>
  </w:num>
  <w:num w:numId="43">
    <w:abstractNumId w:val="26"/>
  </w:num>
  <w:num w:numId="44">
    <w:abstractNumId w:val="43"/>
  </w:num>
  <w:num w:numId="45">
    <w:abstractNumId w:val="20"/>
  </w:num>
  <w:num w:numId="46">
    <w:abstractNumId w:val="25"/>
  </w:num>
  <w:num w:numId="47">
    <w:abstractNumId w:val="38"/>
  </w:num>
  <w:num w:numId="48">
    <w:abstractNumId w:val="12"/>
  </w:num>
  <w:num w:numId="49">
    <w:abstractNumId w:val="31"/>
  </w:num>
  <w:num w:numId="50">
    <w:abstractNumId w:val="1"/>
  </w:num>
  <w:num w:numId="51">
    <w:abstractNumId w:val="49"/>
  </w:num>
  <w:num w:numId="52">
    <w:abstractNumId w:val="50"/>
  </w:num>
  <w:num w:numId="53">
    <w:abstractNumId w:val="23"/>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en-US" w:vendorID="64" w:dllVersion="4096" w:nlCheck="1" w:checkStyle="0"/>
  <w:activeWritingStyle w:appName="MSWord" w:lang="it-CH" w:vendorID="64" w:dllVersion="4096" w:nlCheck="1" w:checkStyle="0"/>
  <w:activeWritingStyle w:appName="MSWord" w:lang="it-CH" w:vendorID="64" w:dllVersion="6" w:nlCheck="1" w:checkStyle="0"/>
  <w:defaultTabStop w:val="720"/>
  <w:hyphenationZone w:val="425"/>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5DB283-FB88-4E08-BB1E-598CC74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88" w:lineRule="auto"/>
      <w:jc w:val="both"/>
    </w:pPr>
    <w:rPr>
      <w:rFonts w:ascii="Arial" w:hAnsi="Arial"/>
      <w:sz w:val="22"/>
      <w:szCs w:val="24"/>
      <w:lang w:val="en-GB" w:eastAsia="en-US"/>
    </w:rPr>
  </w:style>
  <w:style w:type="paragraph" w:styleId="Titre1">
    <w:name w:val="heading 1"/>
    <w:basedOn w:val="Normal"/>
    <w:next w:val="Normal"/>
    <w:link w:val="Titre1Car"/>
    <w:qFormat/>
    <w:pPr>
      <w:keepNext/>
      <w:spacing w:before="360"/>
      <w:jc w:val="center"/>
      <w:outlineLvl w:val="0"/>
    </w:pPr>
    <w:rPr>
      <w:b/>
      <w:sz w:val="28"/>
      <w:szCs w:val="20"/>
      <w:lang w:val="en-US"/>
    </w:rPr>
  </w:style>
  <w:style w:type="paragraph" w:styleId="Titre2">
    <w:name w:val="heading 2"/>
    <w:basedOn w:val="Normal"/>
    <w:next w:val="Normal"/>
    <w:qFormat/>
    <w:pPr>
      <w:keepNext/>
      <w:numPr>
        <w:ilvl w:val="1"/>
        <w:numId w:val="1"/>
      </w:numPr>
      <w:outlineLvl w:val="1"/>
    </w:pPr>
    <w:rPr>
      <w:rFonts w:ascii="Times New Roman" w:hAnsi="Times New Roman"/>
      <w:szCs w:val="20"/>
      <w:lang w:val="en-US"/>
    </w:rPr>
  </w:style>
  <w:style w:type="paragraph" w:styleId="Titre3">
    <w:name w:val="heading 3"/>
    <w:basedOn w:val="Normal"/>
    <w:next w:val="Normal"/>
    <w:qFormat/>
    <w:pPr>
      <w:keepNext/>
      <w:numPr>
        <w:ilvl w:val="1"/>
        <w:numId w:val="2"/>
      </w:numPr>
      <w:outlineLvl w:val="2"/>
    </w:pPr>
    <w:rPr>
      <w:rFonts w:ascii="Times New Roman" w:hAnsi="Times New Roman"/>
      <w:szCs w:val="20"/>
      <w:lang w:val="en-US"/>
    </w:rPr>
  </w:style>
  <w:style w:type="paragraph" w:styleId="Titre4">
    <w:name w:val="heading 4"/>
    <w:basedOn w:val="Normal"/>
    <w:next w:val="Normal"/>
    <w:qFormat/>
    <w:pPr>
      <w:keepNext/>
      <w:numPr>
        <w:ilvl w:val="1"/>
        <w:numId w:val="3"/>
      </w:numPr>
      <w:outlineLvl w:val="3"/>
    </w:pPr>
    <w:rPr>
      <w:rFonts w:ascii="Times New Roman" w:hAnsi="Times New Roman"/>
      <w:sz w:val="24"/>
      <w:szCs w:val="20"/>
      <w:lang w:val="en-US"/>
    </w:rPr>
  </w:style>
  <w:style w:type="paragraph" w:styleId="Titre5">
    <w:name w:val="heading 5"/>
    <w:basedOn w:val="Normal"/>
    <w:next w:val="Normal"/>
    <w:qFormat/>
    <w:pPr>
      <w:keepNext/>
      <w:numPr>
        <w:ilvl w:val="1"/>
        <w:numId w:val="4"/>
      </w:numPr>
      <w:outlineLvl w:val="4"/>
    </w:pPr>
    <w:rPr>
      <w:rFonts w:ascii="Times New Roman" w:hAnsi="Times New Roman"/>
      <w:sz w:val="24"/>
      <w:szCs w:val="20"/>
      <w:lang w:val="en-US"/>
    </w:rPr>
  </w:style>
  <w:style w:type="paragraph" w:styleId="Titre6">
    <w:name w:val="heading 6"/>
    <w:basedOn w:val="Normal"/>
    <w:next w:val="Normal"/>
    <w:qFormat/>
    <w:pPr>
      <w:keepNext/>
      <w:numPr>
        <w:ilvl w:val="1"/>
        <w:numId w:val="5"/>
      </w:numPr>
      <w:outlineLvl w:val="5"/>
    </w:pPr>
    <w:rPr>
      <w:rFonts w:ascii="Times New Roman" w:hAnsi="Times New Roman"/>
      <w:sz w:val="24"/>
      <w:szCs w:val="20"/>
      <w:lang w:val="en-US"/>
    </w:rPr>
  </w:style>
  <w:style w:type="paragraph" w:styleId="Titre7">
    <w:name w:val="heading 7"/>
    <w:basedOn w:val="Normal"/>
    <w:next w:val="Normal"/>
    <w:qFormat/>
    <w:pPr>
      <w:keepNext/>
      <w:numPr>
        <w:ilvl w:val="1"/>
        <w:numId w:val="6"/>
      </w:numPr>
      <w:outlineLvl w:val="6"/>
    </w:pPr>
    <w:rPr>
      <w:rFonts w:ascii="Times New Roman" w:hAnsi="Times New Roman"/>
      <w:sz w:val="24"/>
      <w:szCs w:val="20"/>
      <w:lang w:val="en-US"/>
    </w:rPr>
  </w:style>
  <w:style w:type="paragraph" w:styleId="Titre8">
    <w:name w:val="heading 8"/>
    <w:basedOn w:val="Normal"/>
    <w:next w:val="Normal"/>
    <w:qFormat/>
    <w:pPr>
      <w:keepNext/>
      <w:numPr>
        <w:ilvl w:val="1"/>
        <w:numId w:val="7"/>
      </w:numPr>
      <w:tabs>
        <w:tab w:val="left" w:pos="5954"/>
      </w:tabs>
      <w:outlineLvl w:val="7"/>
    </w:pPr>
    <w:rPr>
      <w:rFonts w:ascii="Times New Roman" w:hAnsi="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Pr>
      <w:rFonts w:ascii="Times New Roman" w:hAnsi="Times New Roman"/>
      <w:sz w:val="24"/>
      <w:szCs w:val="20"/>
      <w:lang w:val="en-US"/>
    </w:rPr>
  </w:style>
  <w:style w:type="paragraph" w:customStyle="1" w:styleId="Heading11">
    <w:name w:val="Heading 11"/>
    <w:basedOn w:val="Normal"/>
    <w:pPr>
      <w:numPr>
        <w:ilvl w:val="1"/>
        <w:numId w:val="8"/>
      </w:numPr>
    </w:pPr>
    <w:rPr>
      <w:rFonts w:ascii="Times New Roman" w:hAnsi="Times New Roman"/>
      <w:sz w:val="24"/>
      <w:szCs w:val="20"/>
    </w:rPr>
  </w:style>
  <w:style w:type="paragraph" w:styleId="Pieddepage">
    <w:name w:val="footer"/>
    <w:basedOn w:val="Normal"/>
    <w:link w:val="PieddepageCar"/>
    <w:semiHidden/>
    <w:pPr>
      <w:tabs>
        <w:tab w:val="center" w:pos="4320"/>
        <w:tab w:val="right" w:pos="8640"/>
      </w:tabs>
    </w:pPr>
    <w:rPr>
      <w:rFonts w:ascii="Times New Roman" w:hAnsi="Times New Roman"/>
      <w:sz w:val="20"/>
      <w:szCs w:val="20"/>
      <w:lang w:val="en-US"/>
    </w:rPr>
  </w:style>
  <w:style w:type="paragraph" w:styleId="Corpsdetexte2">
    <w:name w:val="Body Text 2"/>
    <w:basedOn w:val="Normal"/>
    <w:semiHidden/>
    <w:rPr>
      <w:rFonts w:ascii="Times New Roman" w:hAnsi="Times New Roman"/>
      <w:sz w:val="24"/>
      <w:szCs w:val="20"/>
      <w:lang w:val="en-US"/>
    </w:rPr>
  </w:style>
  <w:style w:type="paragraph" w:customStyle="1" w:styleId="heading110">
    <w:name w:val="heading11"/>
    <w:basedOn w:val="Normal"/>
    <w:pPr>
      <w:spacing w:before="100" w:beforeAutospacing="1" w:after="100" w:afterAutospacing="1"/>
    </w:pPr>
    <w:rPr>
      <w:rFonts w:ascii="Arial Unicode MS" w:eastAsia="Arial Unicode MS" w:hAnsi="Arial Unicode MS" w:cs="Arial Unicode MS"/>
      <w:sz w:val="24"/>
      <w:lang w:val="de-CH" w:eastAsia="de-DE"/>
    </w:rPr>
  </w:style>
  <w:style w:type="paragraph" w:styleId="Retraitcorpsdetexte">
    <w:name w:val="Body Text Indent"/>
    <w:basedOn w:val="Normal"/>
    <w:semiHidden/>
    <w:pPr>
      <w:ind w:left="567" w:hanging="567"/>
    </w:pPr>
    <w:rPr>
      <w:rFonts w:ascii="Times New Roman" w:hAnsi="Times New Roman"/>
      <w:sz w:val="24"/>
      <w:szCs w:val="20"/>
      <w:lang w:val="en-US"/>
    </w:rPr>
  </w:style>
  <w:style w:type="character" w:styleId="Numrodepage">
    <w:name w:val="page number"/>
    <w:basedOn w:val="Policepardfaut"/>
    <w:semiHidden/>
  </w:style>
  <w:style w:type="paragraph" w:styleId="En-tte">
    <w:name w:val="header"/>
    <w:basedOn w:val="Normal"/>
    <w:link w:val="En-tteCar"/>
    <w:pPr>
      <w:tabs>
        <w:tab w:val="center" w:pos="4536"/>
        <w:tab w:val="right" w:pos="9072"/>
      </w:tabs>
    </w:p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en-GB" w:eastAsia="en-U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Arial" w:hAnsi="Arial"/>
      <w:b/>
      <w:bCs/>
      <w:lang w:val="en-GB" w:eastAsia="en-US"/>
    </w:rPr>
  </w:style>
  <w:style w:type="paragraph" w:styleId="Paragraphedeliste">
    <w:name w:val="List Paragraph"/>
    <w:aliases w:val="List Paragraph 1,Dot pt,No Spacing1,List Paragraph Char Char Char,Indicator Text,Numbered Para 1,List Paragraph à moi,List Paragraph1,LISTA,Listaszerű bekezdés1,Listaszerű bekezdés3,Listaszerű bekezdés2,Colorful List Accent 1"/>
    <w:basedOn w:val="Normal"/>
    <w:link w:val="ParagraphedelisteCar"/>
    <w:uiPriority w:val="34"/>
    <w:qFormat/>
    <w:pPr>
      <w:spacing w:after="240"/>
      <w:ind w:left="720"/>
    </w:p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character" w:customStyle="1" w:styleId="ParagraphedelisteCar">
    <w:name w:val="Paragraphe de liste Car"/>
    <w:aliases w:val="List Paragraph 1 Car,Dot pt Car,No Spacing1 Car,List Paragraph Char Char Char Car,Indicator Text Car,Numbered Para 1 Car,List Paragraph à moi Car,List Paragraph1 Car,LISTA Car,Listaszerű bekezdés1 Car,Listaszerű bekezdés3 Car"/>
    <w:basedOn w:val="Policepardfaut"/>
    <w:link w:val="Paragraphedeliste"/>
    <w:uiPriority w:val="34"/>
    <w:qFormat/>
    <w:locked/>
    <w:rPr>
      <w:rFonts w:ascii="Arial" w:hAnsi="Arial"/>
      <w:sz w:val="22"/>
      <w:szCs w:val="24"/>
      <w:lang w:val="en-GB" w:eastAsia="en-US"/>
    </w:rPr>
  </w:style>
  <w:style w:type="character" w:styleId="lev">
    <w:name w:val="Strong"/>
    <w:basedOn w:val="Policepardfaut"/>
    <w:uiPriority w:val="22"/>
    <w:qFormat/>
    <w:rPr>
      <w:b/>
      <w:bCs/>
    </w:rPr>
  </w:style>
  <w:style w:type="paragraph" w:styleId="NormalWeb">
    <w:name w:val="Normal (Web)"/>
    <w:basedOn w:val="Normal"/>
    <w:uiPriority w:val="99"/>
    <w:unhideWhenUsed/>
    <w:pPr>
      <w:spacing w:after="165"/>
    </w:pPr>
    <w:rPr>
      <w:rFonts w:ascii="Times New Roman" w:hAnsi="Times New Roman"/>
      <w:sz w:val="26"/>
      <w:szCs w:val="26"/>
      <w:lang w:val="fr-CH" w:eastAsia="fr-CH"/>
    </w:rPr>
  </w:style>
  <w:style w:type="character" w:customStyle="1" w:styleId="expandercomparator6">
    <w:name w:val="expandercomparator6"/>
    <w:basedOn w:val="Policepardfaut"/>
  </w:style>
  <w:style w:type="character" w:customStyle="1" w:styleId="context-menu7">
    <w:name w:val="context-menu7"/>
    <w:basedOn w:val="Policepardfaut"/>
  </w:style>
  <w:style w:type="paragraph" w:styleId="Rvision">
    <w:name w:val="Revision"/>
    <w:hidden/>
    <w:uiPriority w:val="99"/>
    <w:semiHidden/>
    <w:rPr>
      <w:rFonts w:ascii="Arial" w:hAnsi="Arial"/>
      <w:sz w:val="22"/>
      <w:szCs w:val="24"/>
      <w:lang w:val="en-GB" w:eastAsia="en-US"/>
    </w:rPr>
  </w:style>
  <w:style w:type="paragraph" w:customStyle="1" w:styleId="Style1">
    <w:name w:val="Style1"/>
    <w:basedOn w:val="Normal"/>
    <w:link w:val="Style1Car"/>
    <w:qFormat/>
    <w:pPr>
      <w:spacing w:before="240"/>
    </w:pPr>
  </w:style>
  <w:style w:type="character" w:customStyle="1" w:styleId="Style1Car">
    <w:name w:val="Style1 Car"/>
    <w:basedOn w:val="Policepardfaut"/>
    <w:link w:val="Style1"/>
    <w:rPr>
      <w:rFonts w:ascii="Arial" w:hAnsi="Arial"/>
      <w:sz w:val="22"/>
      <w:szCs w:val="24"/>
      <w:lang w:val="en-GB" w:eastAsia="en-US"/>
    </w:rPr>
  </w:style>
  <w:style w:type="paragraph" w:styleId="Sansinterligne">
    <w:name w:val="No Spacing"/>
    <w:aliases w:val="Buchstaben"/>
    <w:uiPriority w:val="1"/>
    <w:qFormat/>
    <w:pPr>
      <w:spacing w:before="120" w:after="120"/>
    </w:pPr>
    <w:rPr>
      <w:rFonts w:ascii="Arial" w:eastAsiaTheme="minorHAnsi" w:hAnsi="Arial" w:cs="Arial"/>
      <w:sz w:val="22"/>
      <w:szCs w:val="22"/>
      <w:lang w:eastAsia="en-US"/>
    </w:rPr>
  </w:style>
  <w:style w:type="paragraph" w:customStyle="1" w:styleId="Style2">
    <w:name w:val="Style2"/>
    <w:basedOn w:val="Normal"/>
    <w:qFormat/>
    <w:pPr>
      <w:keepNext/>
      <w:keepLines/>
      <w:spacing w:before="360"/>
      <w:ind w:left="2268" w:hanging="2268"/>
      <w:outlineLvl w:val="1"/>
    </w:pPr>
    <w:rPr>
      <w:rFonts w:eastAsiaTheme="majorEastAsia" w:cstheme="majorBidi"/>
      <w:b/>
      <w:color w:val="000000" w:themeColor="text1"/>
      <w:szCs w:val="26"/>
    </w:rPr>
  </w:style>
  <w:style w:type="table" w:styleId="Grilledutableau">
    <w:name w:val="Table Grid"/>
    <w:basedOn w:val="Tableau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num">
    <w:name w:val="Titre 1 num"/>
    <w:basedOn w:val="Paragraphedeliste"/>
    <w:link w:val="Titre1numCar"/>
    <w:qFormat/>
    <w:pPr>
      <w:spacing w:before="480" w:line="240" w:lineRule="auto"/>
      <w:ind w:left="567" w:hanging="567"/>
    </w:pPr>
    <w:rPr>
      <w:b/>
      <w:sz w:val="28"/>
      <w:lang w:val="en-US"/>
    </w:rPr>
  </w:style>
  <w:style w:type="character" w:customStyle="1" w:styleId="Titre1numCar">
    <w:name w:val="Titre 1 num Car"/>
    <w:basedOn w:val="Policepardfaut"/>
    <w:link w:val="Titre1num"/>
    <w:rPr>
      <w:rFonts w:ascii="Arial" w:hAnsi="Arial"/>
      <w:b/>
      <w:sz w:val="28"/>
      <w:szCs w:val="24"/>
      <w:lang w:val="en-US" w:eastAsia="en-US"/>
    </w:rPr>
  </w:style>
  <w:style w:type="paragraph" w:customStyle="1" w:styleId="Titre11">
    <w:name w:val="Titre 1.1"/>
    <w:basedOn w:val="Style1"/>
    <w:qFormat/>
    <w:pPr>
      <w:numPr>
        <w:ilvl w:val="1"/>
      </w:numPr>
      <w:spacing w:after="240" w:line="240" w:lineRule="auto"/>
      <w:ind w:left="2276" w:hanging="432"/>
    </w:pPr>
    <w:rPr>
      <w:b/>
      <w:lang w:val="en-US"/>
    </w:rPr>
  </w:style>
  <w:style w:type="character" w:customStyle="1" w:styleId="Titre1Car">
    <w:name w:val="Titre 1 Car"/>
    <w:basedOn w:val="Policepardfaut"/>
    <w:link w:val="Titre1"/>
    <w:rPr>
      <w:rFonts w:ascii="Arial" w:hAnsi="Arial"/>
      <w:b/>
      <w:sz w:val="28"/>
      <w:lang w:val="en-US" w:eastAsia="en-US"/>
    </w:rPr>
  </w:style>
  <w:style w:type="character" w:customStyle="1" w:styleId="CorpsdetexteCar">
    <w:name w:val="Corps de texte Car"/>
    <w:basedOn w:val="Policepardfaut"/>
    <w:link w:val="Corpsdetexte"/>
    <w:semiHidden/>
    <w:rPr>
      <w:sz w:val="24"/>
      <w:lang w:val="en-US" w:eastAsia="en-US"/>
    </w:rPr>
  </w:style>
  <w:style w:type="character" w:customStyle="1" w:styleId="PieddepageCar">
    <w:name w:val="Pied de page Car"/>
    <w:basedOn w:val="Policepardfaut"/>
    <w:link w:val="Pieddepage"/>
    <w:semiHidden/>
    <w:rPr>
      <w:lang w:val="en-US" w:eastAsia="en-US"/>
    </w:rPr>
  </w:style>
  <w:style w:type="character" w:customStyle="1" w:styleId="En-tteCar">
    <w:name w:val="En-tête Car"/>
    <w:basedOn w:val="Policepardfaut"/>
    <w:link w:val="En-tte"/>
    <w:rPr>
      <w:rFonts w:ascii="Arial" w:hAnsi="Arial"/>
      <w:sz w:val="22"/>
      <w:szCs w:val="24"/>
      <w:lang w:val="en-GB" w:eastAsia="en-US"/>
    </w:rPr>
  </w:style>
  <w:style w:type="table" w:customStyle="1" w:styleId="Tabela-Siatka1">
    <w:name w:val="Tabela - Siatka1"/>
    <w:basedOn w:val="TableauNormal"/>
    <w:next w:val="Grilledutableau"/>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937">
      <w:bodyDiv w:val="1"/>
      <w:marLeft w:val="0"/>
      <w:marRight w:val="0"/>
      <w:marTop w:val="0"/>
      <w:marBottom w:val="0"/>
      <w:divBdr>
        <w:top w:val="none" w:sz="0" w:space="0" w:color="auto"/>
        <w:left w:val="none" w:sz="0" w:space="0" w:color="auto"/>
        <w:bottom w:val="none" w:sz="0" w:space="0" w:color="auto"/>
        <w:right w:val="none" w:sz="0" w:space="0" w:color="auto"/>
      </w:divBdr>
      <w:divsChild>
        <w:div w:id="1422750291">
          <w:marLeft w:val="0"/>
          <w:marRight w:val="0"/>
          <w:marTop w:val="0"/>
          <w:marBottom w:val="0"/>
          <w:divBdr>
            <w:top w:val="none" w:sz="0" w:space="0" w:color="auto"/>
            <w:left w:val="none" w:sz="0" w:space="0" w:color="auto"/>
            <w:bottom w:val="none" w:sz="0" w:space="0" w:color="auto"/>
            <w:right w:val="none" w:sz="0" w:space="0" w:color="auto"/>
          </w:divBdr>
          <w:divsChild>
            <w:div w:id="248586708">
              <w:marLeft w:val="0"/>
              <w:marRight w:val="0"/>
              <w:marTop w:val="0"/>
              <w:marBottom w:val="0"/>
              <w:divBdr>
                <w:top w:val="none" w:sz="0" w:space="0" w:color="auto"/>
                <w:left w:val="none" w:sz="0" w:space="0" w:color="auto"/>
                <w:bottom w:val="none" w:sz="0" w:space="0" w:color="auto"/>
                <w:right w:val="none" w:sz="0" w:space="0" w:color="auto"/>
              </w:divBdr>
              <w:divsChild>
                <w:div w:id="2146701090">
                  <w:marLeft w:val="-225"/>
                  <w:marRight w:val="-225"/>
                  <w:marTop w:val="0"/>
                  <w:marBottom w:val="0"/>
                  <w:divBdr>
                    <w:top w:val="none" w:sz="0" w:space="0" w:color="auto"/>
                    <w:left w:val="none" w:sz="0" w:space="0" w:color="auto"/>
                    <w:bottom w:val="none" w:sz="0" w:space="0" w:color="auto"/>
                    <w:right w:val="none" w:sz="0" w:space="0" w:color="auto"/>
                  </w:divBdr>
                  <w:divsChild>
                    <w:div w:id="997004776">
                      <w:marLeft w:val="0"/>
                      <w:marRight w:val="0"/>
                      <w:marTop w:val="0"/>
                      <w:marBottom w:val="0"/>
                      <w:divBdr>
                        <w:top w:val="none" w:sz="0" w:space="0" w:color="auto"/>
                        <w:left w:val="none" w:sz="0" w:space="0" w:color="auto"/>
                        <w:bottom w:val="none" w:sz="0" w:space="0" w:color="auto"/>
                        <w:right w:val="none" w:sz="0" w:space="0" w:color="auto"/>
                      </w:divBdr>
                      <w:divsChild>
                        <w:div w:id="125709500">
                          <w:marLeft w:val="-225"/>
                          <w:marRight w:val="-225"/>
                          <w:marTop w:val="0"/>
                          <w:marBottom w:val="0"/>
                          <w:divBdr>
                            <w:top w:val="none" w:sz="0" w:space="0" w:color="auto"/>
                            <w:left w:val="none" w:sz="0" w:space="0" w:color="auto"/>
                            <w:bottom w:val="none" w:sz="0" w:space="0" w:color="auto"/>
                            <w:right w:val="none" w:sz="0" w:space="0" w:color="auto"/>
                          </w:divBdr>
                          <w:divsChild>
                            <w:div w:id="800077267">
                              <w:marLeft w:val="0"/>
                              <w:marRight w:val="0"/>
                              <w:marTop w:val="0"/>
                              <w:marBottom w:val="0"/>
                              <w:divBdr>
                                <w:top w:val="none" w:sz="0" w:space="0" w:color="auto"/>
                                <w:left w:val="none" w:sz="0" w:space="0" w:color="auto"/>
                                <w:bottom w:val="none" w:sz="0" w:space="0" w:color="auto"/>
                                <w:right w:val="none" w:sz="0" w:space="0" w:color="auto"/>
                              </w:divBdr>
                              <w:divsChild>
                                <w:div w:id="849102077">
                                  <w:marLeft w:val="0"/>
                                  <w:marRight w:val="0"/>
                                  <w:marTop w:val="0"/>
                                  <w:marBottom w:val="0"/>
                                  <w:divBdr>
                                    <w:top w:val="none" w:sz="0" w:space="0" w:color="auto"/>
                                    <w:left w:val="none" w:sz="0" w:space="0" w:color="auto"/>
                                    <w:bottom w:val="none" w:sz="0" w:space="0" w:color="auto"/>
                                    <w:right w:val="none" w:sz="0" w:space="0" w:color="auto"/>
                                  </w:divBdr>
                                  <w:divsChild>
                                    <w:div w:id="5319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9961">
      <w:bodyDiv w:val="1"/>
      <w:marLeft w:val="0"/>
      <w:marRight w:val="0"/>
      <w:marTop w:val="0"/>
      <w:marBottom w:val="0"/>
      <w:divBdr>
        <w:top w:val="none" w:sz="0" w:space="0" w:color="auto"/>
        <w:left w:val="none" w:sz="0" w:space="0" w:color="auto"/>
        <w:bottom w:val="none" w:sz="0" w:space="0" w:color="auto"/>
        <w:right w:val="none" w:sz="0" w:space="0" w:color="auto"/>
      </w:divBdr>
    </w:div>
    <w:div w:id="110169703">
      <w:bodyDiv w:val="1"/>
      <w:marLeft w:val="0"/>
      <w:marRight w:val="0"/>
      <w:marTop w:val="0"/>
      <w:marBottom w:val="0"/>
      <w:divBdr>
        <w:top w:val="none" w:sz="0" w:space="0" w:color="auto"/>
        <w:left w:val="none" w:sz="0" w:space="0" w:color="auto"/>
        <w:bottom w:val="none" w:sz="0" w:space="0" w:color="auto"/>
        <w:right w:val="none" w:sz="0" w:space="0" w:color="auto"/>
      </w:divBdr>
    </w:div>
    <w:div w:id="227958969">
      <w:bodyDiv w:val="1"/>
      <w:marLeft w:val="0"/>
      <w:marRight w:val="0"/>
      <w:marTop w:val="0"/>
      <w:marBottom w:val="0"/>
      <w:divBdr>
        <w:top w:val="none" w:sz="0" w:space="0" w:color="auto"/>
        <w:left w:val="none" w:sz="0" w:space="0" w:color="auto"/>
        <w:bottom w:val="none" w:sz="0" w:space="0" w:color="auto"/>
        <w:right w:val="none" w:sz="0" w:space="0" w:color="auto"/>
      </w:divBdr>
      <w:divsChild>
        <w:div w:id="723916625">
          <w:marLeft w:val="0"/>
          <w:marRight w:val="0"/>
          <w:marTop w:val="0"/>
          <w:marBottom w:val="0"/>
          <w:divBdr>
            <w:top w:val="none" w:sz="0" w:space="0" w:color="auto"/>
            <w:left w:val="none" w:sz="0" w:space="0" w:color="auto"/>
            <w:bottom w:val="none" w:sz="0" w:space="0" w:color="auto"/>
            <w:right w:val="none" w:sz="0" w:space="0" w:color="auto"/>
          </w:divBdr>
          <w:divsChild>
            <w:div w:id="1585610015">
              <w:marLeft w:val="0"/>
              <w:marRight w:val="0"/>
              <w:marTop w:val="0"/>
              <w:marBottom w:val="0"/>
              <w:divBdr>
                <w:top w:val="none" w:sz="0" w:space="0" w:color="auto"/>
                <w:left w:val="none" w:sz="0" w:space="0" w:color="auto"/>
                <w:bottom w:val="none" w:sz="0" w:space="0" w:color="auto"/>
                <w:right w:val="none" w:sz="0" w:space="0" w:color="auto"/>
              </w:divBdr>
              <w:divsChild>
                <w:div w:id="650448142">
                  <w:marLeft w:val="-225"/>
                  <w:marRight w:val="-225"/>
                  <w:marTop w:val="0"/>
                  <w:marBottom w:val="0"/>
                  <w:divBdr>
                    <w:top w:val="none" w:sz="0" w:space="0" w:color="auto"/>
                    <w:left w:val="none" w:sz="0" w:space="0" w:color="auto"/>
                    <w:bottom w:val="none" w:sz="0" w:space="0" w:color="auto"/>
                    <w:right w:val="none" w:sz="0" w:space="0" w:color="auto"/>
                  </w:divBdr>
                  <w:divsChild>
                    <w:div w:id="845286221">
                      <w:marLeft w:val="0"/>
                      <w:marRight w:val="0"/>
                      <w:marTop w:val="0"/>
                      <w:marBottom w:val="0"/>
                      <w:divBdr>
                        <w:top w:val="none" w:sz="0" w:space="0" w:color="auto"/>
                        <w:left w:val="none" w:sz="0" w:space="0" w:color="auto"/>
                        <w:bottom w:val="none" w:sz="0" w:space="0" w:color="auto"/>
                        <w:right w:val="none" w:sz="0" w:space="0" w:color="auto"/>
                      </w:divBdr>
                      <w:divsChild>
                        <w:div w:id="1982614134">
                          <w:marLeft w:val="-225"/>
                          <w:marRight w:val="-225"/>
                          <w:marTop w:val="0"/>
                          <w:marBottom w:val="0"/>
                          <w:divBdr>
                            <w:top w:val="none" w:sz="0" w:space="0" w:color="auto"/>
                            <w:left w:val="none" w:sz="0" w:space="0" w:color="auto"/>
                            <w:bottom w:val="none" w:sz="0" w:space="0" w:color="auto"/>
                            <w:right w:val="none" w:sz="0" w:space="0" w:color="auto"/>
                          </w:divBdr>
                          <w:divsChild>
                            <w:div w:id="1648894464">
                              <w:marLeft w:val="0"/>
                              <w:marRight w:val="0"/>
                              <w:marTop w:val="0"/>
                              <w:marBottom w:val="0"/>
                              <w:divBdr>
                                <w:top w:val="none" w:sz="0" w:space="0" w:color="auto"/>
                                <w:left w:val="none" w:sz="0" w:space="0" w:color="auto"/>
                                <w:bottom w:val="none" w:sz="0" w:space="0" w:color="auto"/>
                                <w:right w:val="none" w:sz="0" w:space="0" w:color="auto"/>
                              </w:divBdr>
                              <w:divsChild>
                                <w:div w:id="1832982095">
                                  <w:marLeft w:val="0"/>
                                  <w:marRight w:val="0"/>
                                  <w:marTop w:val="0"/>
                                  <w:marBottom w:val="0"/>
                                  <w:divBdr>
                                    <w:top w:val="none" w:sz="0" w:space="0" w:color="auto"/>
                                    <w:left w:val="none" w:sz="0" w:space="0" w:color="auto"/>
                                    <w:bottom w:val="none" w:sz="0" w:space="0" w:color="auto"/>
                                    <w:right w:val="none" w:sz="0" w:space="0" w:color="auto"/>
                                  </w:divBdr>
                                  <w:divsChild>
                                    <w:div w:id="9610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29631">
      <w:bodyDiv w:val="1"/>
      <w:marLeft w:val="0"/>
      <w:marRight w:val="0"/>
      <w:marTop w:val="0"/>
      <w:marBottom w:val="0"/>
      <w:divBdr>
        <w:top w:val="none" w:sz="0" w:space="0" w:color="auto"/>
        <w:left w:val="none" w:sz="0" w:space="0" w:color="auto"/>
        <w:bottom w:val="none" w:sz="0" w:space="0" w:color="auto"/>
        <w:right w:val="none" w:sz="0" w:space="0" w:color="auto"/>
      </w:divBdr>
    </w:div>
    <w:div w:id="339819201">
      <w:bodyDiv w:val="1"/>
      <w:marLeft w:val="0"/>
      <w:marRight w:val="0"/>
      <w:marTop w:val="0"/>
      <w:marBottom w:val="0"/>
      <w:divBdr>
        <w:top w:val="none" w:sz="0" w:space="0" w:color="auto"/>
        <w:left w:val="none" w:sz="0" w:space="0" w:color="auto"/>
        <w:bottom w:val="none" w:sz="0" w:space="0" w:color="auto"/>
        <w:right w:val="none" w:sz="0" w:space="0" w:color="auto"/>
      </w:divBdr>
    </w:div>
    <w:div w:id="375006814">
      <w:bodyDiv w:val="1"/>
      <w:marLeft w:val="0"/>
      <w:marRight w:val="0"/>
      <w:marTop w:val="0"/>
      <w:marBottom w:val="0"/>
      <w:divBdr>
        <w:top w:val="none" w:sz="0" w:space="0" w:color="auto"/>
        <w:left w:val="none" w:sz="0" w:space="0" w:color="auto"/>
        <w:bottom w:val="none" w:sz="0" w:space="0" w:color="auto"/>
        <w:right w:val="none" w:sz="0" w:space="0" w:color="auto"/>
      </w:divBdr>
    </w:div>
    <w:div w:id="396590779">
      <w:bodyDiv w:val="1"/>
      <w:marLeft w:val="0"/>
      <w:marRight w:val="0"/>
      <w:marTop w:val="0"/>
      <w:marBottom w:val="0"/>
      <w:divBdr>
        <w:top w:val="none" w:sz="0" w:space="0" w:color="auto"/>
        <w:left w:val="none" w:sz="0" w:space="0" w:color="auto"/>
        <w:bottom w:val="none" w:sz="0" w:space="0" w:color="auto"/>
        <w:right w:val="none" w:sz="0" w:space="0" w:color="auto"/>
      </w:divBdr>
    </w:div>
    <w:div w:id="791635488">
      <w:bodyDiv w:val="1"/>
      <w:marLeft w:val="0"/>
      <w:marRight w:val="0"/>
      <w:marTop w:val="0"/>
      <w:marBottom w:val="0"/>
      <w:divBdr>
        <w:top w:val="none" w:sz="0" w:space="0" w:color="auto"/>
        <w:left w:val="none" w:sz="0" w:space="0" w:color="auto"/>
        <w:bottom w:val="none" w:sz="0" w:space="0" w:color="auto"/>
        <w:right w:val="none" w:sz="0" w:space="0" w:color="auto"/>
      </w:divBdr>
    </w:div>
    <w:div w:id="986055198">
      <w:bodyDiv w:val="1"/>
      <w:marLeft w:val="0"/>
      <w:marRight w:val="0"/>
      <w:marTop w:val="0"/>
      <w:marBottom w:val="0"/>
      <w:divBdr>
        <w:top w:val="none" w:sz="0" w:space="0" w:color="auto"/>
        <w:left w:val="none" w:sz="0" w:space="0" w:color="auto"/>
        <w:bottom w:val="none" w:sz="0" w:space="0" w:color="auto"/>
        <w:right w:val="none" w:sz="0" w:space="0" w:color="auto"/>
      </w:divBdr>
    </w:div>
    <w:div w:id="1356735549">
      <w:bodyDiv w:val="1"/>
      <w:marLeft w:val="0"/>
      <w:marRight w:val="0"/>
      <w:marTop w:val="0"/>
      <w:marBottom w:val="0"/>
      <w:divBdr>
        <w:top w:val="none" w:sz="0" w:space="0" w:color="auto"/>
        <w:left w:val="none" w:sz="0" w:space="0" w:color="auto"/>
        <w:bottom w:val="none" w:sz="0" w:space="0" w:color="auto"/>
        <w:right w:val="none" w:sz="0" w:space="0" w:color="auto"/>
      </w:divBdr>
      <w:divsChild>
        <w:div w:id="1265773009">
          <w:marLeft w:val="0"/>
          <w:marRight w:val="0"/>
          <w:marTop w:val="0"/>
          <w:marBottom w:val="0"/>
          <w:divBdr>
            <w:top w:val="none" w:sz="0" w:space="0" w:color="auto"/>
            <w:left w:val="none" w:sz="0" w:space="0" w:color="auto"/>
            <w:bottom w:val="none" w:sz="0" w:space="0" w:color="auto"/>
            <w:right w:val="none" w:sz="0" w:space="0" w:color="auto"/>
          </w:divBdr>
          <w:divsChild>
            <w:div w:id="1984044646">
              <w:marLeft w:val="0"/>
              <w:marRight w:val="0"/>
              <w:marTop w:val="0"/>
              <w:marBottom w:val="0"/>
              <w:divBdr>
                <w:top w:val="none" w:sz="0" w:space="0" w:color="auto"/>
                <w:left w:val="none" w:sz="0" w:space="0" w:color="auto"/>
                <w:bottom w:val="none" w:sz="0" w:space="0" w:color="auto"/>
                <w:right w:val="none" w:sz="0" w:space="0" w:color="auto"/>
              </w:divBdr>
              <w:divsChild>
                <w:div w:id="764376552">
                  <w:marLeft w:val="-225"/>
                  <w:marRight w:val="-225"/>
                  <w:marTop w:val="0"/>
                  <w:marBottom w:val="0"/>
                  <w:divBdr>
                    <w:top w:val="none" w:sz="0" w:space="0" w:color="auto"/>
                    <w:left w:val="none" w:sz="0" w:space="0" w:color="auto"/>
                    <w:bottom w:val="none" w:sz="0" w:space="0" w:color="auto"/>
                    <w:right w:val="none" w:sz="0" w:space="0" w:color="auto"/>
                  </w:divBdr>
                  <w:divsChild>
                    <w:div w:id="1360277902">
                      <w:marLeft w:val="0"/>
                      <w:marRight w:val="0"/>
                      <w:marTop w:val="0"/>
                      <w:marBottom w:val="0"/>
                      <w:divBdr>
                        <w:top w:val="none" w:sz="0" w:space="0" w:color="auto"/>
                        <w:left w:val="none" w:sz="0" w:space="0" w:color="auto"/>
                        <w:bottom w:val="none" w:sz="0" w:space="0" w:color="auto"/>
                        <w:right w:val="none" w:sz="0" w:space="0" w:color="auto"/>
                      </w:divBdr>
                      <w:divsChild>
                        <w:div w:id="538013479">
                          <w:marLeft w:val="-225"/>
                          <w:marRight w:val="-225"/>
                          <w:marTop w:val="0"/>
                          <w:marBottom w:val="0"/>
                          <w:divBdr>
                            <w:top w:val="none" w:sz="0" w:space="0" w:color="auto"/>
                            <w:left w:val="none" w:sz="0" w:space="0" w:color="auto"/>
                            <w:bottom w:val="none" w:sz="0" w:space="0" w:color="auto"/>
                            <w:right w:val="none" w:sz="0" w:space="0" w:color="auto"/>
                          </w:divBdr>
                          <w:divsChild>
                            <w:div w:id="1213422319">
                              <w:marLeft w:val="0"/>
                              <w:marRight w:val="0"/>
                              <w:marTop w:val="0"/>
                              <w:marBottom w:val="0"/>
                              <w:divBdr>
                                <w:top w:val="none" w:sz="0" w:space="0" w:color="auto"/>
                                <w:left w:val="none" w:sz="0" w:space="0" w:color="auto"/>
                                <w:bottom w:val="none" w:sz="0" w:space="0" w:color="auto"/>
                                <w:right w:val="none" w:sz="0" w:space="0" w:color="auto"/>
                              </w:divBdr>
                              <w:divsChild>
                                <w:div w:id="1264997400">
                                  <w:marLeft w:val="0"/>
                                  <w:marRight w:val="0"/>
                                  <w:marTop w:val="0"/>
                                  <w:marBottom w:val="0"/>
                                  <w:divBdr>
                                    <w:top w:val="none" w:sz="0" w:space="0" w:color="auto"/>
                                    <w:left w:val="none" w:sz="0" w:space="0" w:color="auto"/>
                                    <w:bottom w:val="none" w:sz="0" w:space="0" w:color="auto"/>
                                    <w:right w:val="none" w:sz="0" w:space="0" w:color="auto"/>
                                  </w:divBdr>
                                  <w:divsChild>
                                    <w:div w:id="1300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621732">
      <w:bodyDiv w:val="1"/>
      <w:marLeft w:val="0"/>
      <w:marRight w:val="0"/>
      <w:marTop w:val="0"/>
      <w:marBottom w:val="0"/>
      <w:divBdr>
        <w:top w:val="none" w:sz="0" w:space="0" w:color="auto"/>
        <w:left w:val="none" w:sz="0" w:space="0" w:color="auto"/>
        <w:bottom w:val="none" w:sz="0" w:space="0" w:color="auto"/>
        <w:right w:val="none" w:sz="0" w:space="0" w:color="auto"/>
      </w:divBdr>
    </w:div>
    <w:div w:id="1658071501">
      <w:bodyDiv w:val="1"/>
      <w:marLeft w:val="0"/>
      <w:marRight w:val="0"/>
      <w:marTop w:val="0"/>
      <w:marBottom w:val="0"/>
      <w:divBdr>
        <w:top w:val="none" w:sz="0" w:space="0" w:color="auto"/>
        <w:left w:val="none" w:sz="0" w:space="0" w:color="auto"/>
        <w:bottom w:val="none" w:sz="0" w:space="0" w:color="auto"/>
        <w:right w:val="none" w:sz="0" w:space="0" w:color="auto"/>
      </w:divBdr>
      <w:divsChild>
        <w:div w:id="2060279627">
          <w:marLeft w:val="0"/>
          <w:marRight w:val="0"/>
          <w:marTop w:val="0"/>
          <w:marBottom w:val="0"/>
          <w:divBdr>
            <w:top w:val="none" w:sz="0" w:space="0" w:color="auto"/>
            <w:left w:val="none" w:sz="0" w:space="0" w:color="auto"/>
            <w:bottom w:val="none" w:sz="0" w:space="0" w:color="auto"/>
            <w:right w:val="none" w:sz="0" w:space="0" w:color="auto"/>
          </w:divBdr>
          <w:divsChild>
            <w:div w:id="999162553">
              <w:marLeft w:val="0"/>
              <w:marRight w:val="0"/>
              <w:marTop w:val="0"/>
              <w:marBottom w:val="0"/>
              <w:divBdr>
                <w:top w:val="none" w:sz="0" w:space="0" w:color="auto"/>
                <w:left w:val="none" w:sz="0" w:space="0" w:color="auto"/>
                <w:bottom w:val="none" w:sz="0" w:space="0" w:color="auto"/>
                <w:right w:val="none" w:sz="0" w:space="0" w:color="auto"/>
              </w:divBdr>
              <w:divsChild>
                <w:div w:id="289628989">
                  <w:marLeft w:val="-225"/>
                  <w:marRight w:val="-225"/>
                  <w:marTop w:val="0"/>
                  <w:marBottom w:val="0"/>
                  <w:divBdr>
                    <w:top w:val="none" w:sz="0" w:space="0" w:color="auto"/>
                    <w:left w:val="none" w:sz="0" w:space="0" w:color="auto"/>
                    <w:bottom w:val="none" w:sz="0" w:space="0" w:color="auto"/>
                    <w:right w:val="none" w:sz="0" w:space="0" w:color="auto"/>
                  </w:divBdr>
                  <w:divsChild>
                    <w:div w:id="1944148271">
                      <w:marLeft w:val="0"/>
                      <w:marRight w:val="0"/>
                      <w:marTop w:val="0"/>
                      <w:marBottom w:val="0"/>
                      <w:divBdr>
                        <w:top w:val="none" w:sz="0" w:space="0" w:color="auto"/>
                        <w:left w:val="none" w:sz="0" w:space="0" w:color="auto"/>
                        <w:bottom w:val="none" w:sz="0" w:space="0" w:color="auto"/>
                        <w:right w:val="none" w:sz="0" w:space="0" w:color="auto"/>
                      </w:divBdr>
                      <w:divsChild>
                        <w:div w:id="1450733702">
                          <w:marLeft w:val="-225"/>
                          <w:marRight w:val="-225"/>
                          <w:marTop w:val="0"/>
                          <w:marBottom w:val="0"/>
                          <w:divBdr>
                            <w:top w:val="none" w:sz="0" w:space="0" w:color="auto"/>
                            <w:left w:val="none" w:sz="0" w:space="0" w:color="auto"/>
                            <w:bottom w:val="none" w:sz="0" w:space="0" w:color="auto"/>
                            <w:right w:val="none" w:sz="0" w:space="0" w:color="auto"/>
                          </w:divBdr>
                          <w:divsChild>
                            <w:div w:id="1146896240">
                              <w:marLeft w:val="0"/>
                              <w:marRight w:val="0"/>
                              <w:marTop w:val="0"/>
                              <w:marBottom w:val="0"/>
                              <w:divBdr>
                                <w:top w:val="none" w:sz="0" w:space="0" w:color="auto"/>
                                <w:left w:val="none" w:sz="0" w:space="0" w:color="auto"/>
                                <w:bottom w:val="none" w:sz="0" w:space="0" w:color="auto"/>
                                <w:right w:val="none" w:sz="0" w:space="0" w:color="auto"/>
                              </w:divBdr>
                              <w:divsChild>
                                <w:div w:id="1332290594">
                                  <w:marLeft w:val="0"/>
                                  <w:marRight w:val="0"/>
                                  <w:marTop w:val="0"/>
                                  <w:marBottom w:val="0"/>
                                  <w:divBdr>
                                    <w:top w:val="none" w:sz="0" w:space="0" w:color="auto"/>
                                    <w:left w:val="none" w:sz="0" w:space="0" w:color="auto"/>
                                    <w:bottom w:val="none" w:sz="0" w:space="0" w:color="auto"/>
                                    <w:right w:val="none" w:sz="0" w:space="0" w:color="auto"/>
                                  </w:divBdr>
                                  <w:divsChild>
                                    <w:div w:id="700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598197">
      <w:bodyDiv w:val="1"/>
      <w:marLeft w:val="0"/>
      <w:marRight w:val="0"/>
      <w:marTop w:val="0"/>
      <w:marBottom w:val="0"/>
      <w:divBdr>
        <w:top w:val="none" w:sz="0" w:space="0" w:color="auto"/>
        <w:left w:val="none" w:sz="0" w:space="0" w:color="auto"/>
        <w:bottom w:val="none" w:sz="0" w:space="0" w:color="auto"/>
        <w:right w:val="none" w:sz="0" w:space="0" w:color="auto"/>
      </w:divBdr>
      <w:divsChild>
        <w:div w:id="1422290704">
          <w:marLeft w:val="0"/>
          <w:marRight w:val="0"/>
          <w:marTop w:val="0"/>
          <w:marBottom w:val="0"/>
          <w:divBdr>
            <w:top w:val="none" w:sz="0" w:space="0" w:color="auto"/>
            <w:left w:val="none" w:sz="0" w:space="0" w:color="auto"/>
            <w:bottom w:val="none" w:sz="0" w:space="0" w:color="auto"/>
            <w:right w:val="none" w:sz="0" w:space="0" w:color="auto"/>
          </w:divBdr>
          <w:divsChild>
            <w:div w:id="2090228040">
              <w:marLeft w:val="0"/>
              <w:marRight w:val="0"/>
              <w:marTop w:val="0"/>
              <w:marBottom w:val="0"/>
              <w:divBdr>
                <w:top w:val="none" w:sz="0" w:space="0" w:color="auto"/>
                <w:left w:val="none" w:sz="0" w:space="0" w:color="auto"/>
                <w:bottom w:val="none" w:sz="0" w:space="0" w:color="auto"/>
                <w:right w:val="none" w:sz="0" w:space="0" w:color="auto"/>
              </w:divBdr>
              <w:divsChild>
                <w:div w:id="1323313545">
                  <w:marLeft w:val="-225"/>
                  <w:marRight w:val="-225"/>
                  <w:marTop w:val="0"/>
                  <w:marBottom w:val="0"/>
                  <w:divBdr>
                    <w:top w:val="none" w:sz="0" w:space="0" w:color="auto"/>
                    <w:left w:val="none" w:sz="0" w:space="0" w:color="auto"/>
                    <w:bottom w:val="none" w:sz="0" w:space="0" w:color="auto"/>
                    <w:right w:val="none" w:sz="0" w:space="0" w:color="auto"/>
                  </w:divBdr>
                  <w:divsChild>
                    <w:div w:id="295988437">
                      <w:marLeft w:val="0"/>
                      <w:marRight w:val="0"/>
                      <w:marTop w:val="0"/>
                      <w:marBottom w:val="0"/>
                      <w:divBdr>
                        <w:top w:val="none" w:sz="0" w:space="0" w:color="auto"/>
                        <w:left w:val="none" w:sz="0" w:space="0" w:color="auto"/>
                        <w:bottom w:val="none" w:sz="0" w:space="0" w:color="auto"/>
                        <w:right w:val="none" w:sz="0" w:space="0" w:color="auto"/>
                      </w:divBdr>
                      <w:divsChild>
                        <w:div w:id="417601771">
                          <w:marLeft w:val="-225"/>
                          <w:marRight w:val="-225"/>
                          <w:marTop w:val="0"/>
                          <w:marBottom w:val="0"/>
                          <w:divBdr>
                            <w:top w:val="none" w:sz="0" w:space="0" w:color="auto"/>
                            <w:left w:val="none" w:sz="0" w:space="0" w:color="auto"/>
                            <w:bottom w:val="none" w:sz="0" w:space="0" w:color="auto"/>
                            <w:right w:val="none" w:sz="0" w:space="0" w:color="auto"/>
                          </w:divBdr>
                          <w:divsChild>
                            <w:div w:id="1211652790">
                              <w:marLeft w:val="0"/>
                              <w:marRight w:val="0"/>
                              <w:marTop w:val="0"/>
                              <w:marBottom w:val="0"/>
                              <w:divBdr>
                                <w:top w:val="none" w:sz="0" w:space="0" w:color="auto"/>
                                <w:left w:val="none" w:sz="0" w:space="0" w:color="auto"/>
                                <w:bottom w:val="none" w:sz="0" w:space="0" w:color="auto"/>
                                <w:right w:val="none" w:sz="0" w:space="0" w:color="auto"/>
                              </w:divBdr>
                              <w:divsChild>
                                <w:div w:id="43994249">
                                  <w:marLeft w:val="0"/>
                                  <w:marRight w:val="0"/>
                                  <w:marTop w:val="0"/>
                                  <w:marBottom w:val="0"/>
                                  <w:divBdr>
                                    <w:top w:val="none" w:sz="0" w:space="0" w:color="auto"/>
                                    <w:left w:val="none" w:sz="0" w:space="0" w:color="auto"/>
                                    <w:bottom w:val="none" w:sz="0" w:space="0" w:color="auto"/>
                                    <w:right w:val="none" w:sz="0" w:space="0" w:color="auto"/>
                                  </w:divBdr>
                                  <w:divsChild>
                                    <w:div w:id="878008598">
                                      <w:marLeft w:val="0"/>
                                      <w:marRight w:val="0"/>
                                      <w:marTop w:val="0"/>
                                      <w:marBottom w:val="0"/>
                                      <w:divBdr>
                                        <w:top w:val="none" w:sz="0" w:space="0" w:color="auto"/>
                                        <w:left w:val="none" w:sz="0" w:space="0" w:color="auto"/>
                                        <w:bottom w:val="none" w:sz="0" w:space="0" w:color="auto"/>
                                        <w:right w:val="none" w:sz="0" w:space="0" w:color="auto"/>
                                      </w:divBdr>
                                    </w:div>
                                    <w:div w:id="1161626882">
                                      <w:marLeft w:val="0"/>
                                      <w:marRight w:val="0"/>
                                      <w:marTop w:val="0"/>
                                      <w:marBottom w:val="0"/>
                                      <w:divBdr>
                                        <w:top w:val="none" w:sz="0" w:space="0" w:color="auto"/>
                                        <w:left w:val="none" w:sz="0" w:space="0" w:color="auto"/>
                                        <w:bottom w:val="none" w:sz="0" w:space="0" w:color="auto"/>
                                        <w:right w:val="none" w:sz="0" w:space="0" w:color="auto"/>
                                      </w:divBdr>
                                      <w:divsChild>
                                        <w:div w:id="1193423287">
                                          <w:marLeft w:val="0"/>
                                          <w:marRight w:val="0"/>
                                          <w:marTop w:val="0"/>
                                          <w:marBottom w:val="0"/>
                                          <w:divBdr>
                                            <w:top w:val="none" w:sz="0" w:space="0" w:color="auto"/>
                                            <w:left w:val="none" w:sz="0" w:space="0" w:color="auto"/>
                                            <w:bottom w:val="none" w:sz="0" w:space="0" w:color="auto"/>
                                            <w:right w:val="none" w:sz="0" w:space="0" w:color="auto"/>
                                          </w:divBdr>
                                        </w:div>
                                      </w:divsChild>
                                    </w:div>
                                    <w:div w:id="1679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8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E862A2AC9FE4292C269C7D89F2D00" ma:contentTypeVersion="0" ma:contentTypeDescription="Create a new document." ma:contentTypeScope="" ma:versionID="d98feb448989f1714074a1a5759bdbe2">
  <xsd:schema xmlns:xsd="http://www.w3.org/2001/XMLSchema" xmlns:xs="http://www.w3.org/2001/XMLSchema" xmlns:p="http://schemas.microsoft.com/office/2006/metadata/properties" xmlns:ns2="b88c7bf2-1572-489d-9772-683d3d526c18" xmlns:ns3="3dafc148-7a18-425d-9ce5-9981414a9793" targetNamespace="http://schemas.microsoft.com/office/2006/metadata/properties" ma:root="true" ma:fieldsID="b4b6cfc385add7017fe71ca16bd7f7f4" ns2:_="" ns3:_="">
    <xsd:import namespace="b88c7bf2-1572-489d-9772-683d3d526c18"/>
    <xsd:import namespace="3dafc148-7a18-425d-9ce5-9981414a9793"/>
    <xsd:element name="properties">
      <xsd:complexType>
        <xsd:sequence>
          <xsd:element name="documentManagement">
            <xsd:complexType>
              <xsd:all>
                <xsd:element ref="ns2:EdaAuthors" minOccurs="0"/>
                <xsd:element ref="ns3:TaxKeywordTaxHTField" minOccurs="0"/>
                <xsd:element ref="ns3:TaxCatchAll" minOccurs="0"/>
                <xsd:element ref="ns3:TaxCatchAllLabel" minOccurs="0"/>
                <xsd:element ref="ns2:EdaOrganizationalUnitTaxHTField0" minOccurs="0"/>
                <xsd:element ref="ns2:EdaKeywordsTaxHTField0" minOccurs="0"/>
                <xsd:element ref="ns2:EdaCountryTaxHTField0" minOccurs="0"/>
                <xsd:element ref="ns2:EdaRegionTaxHTField0" minOccurs="0"/>
                <xsd:element ref="ns2:EdaLanguageTaxHTField0" minOccurs="0"/>
                <xsd:element ref="ns2:EdaPartnerTaxHTField0" minOccurs="0"/>
                <xsd:element ref="ns2:EdaThemeTaxHTField0" minOccurs="0"/>
                <xsd:element ref="ns2:EdaSubThemeTaxHTField0" minOccurs="0"/>
                <xsd:element ref="ns2:EdaContact" minOccurs="0"/>
                <xsd:element ref="ns2:Archive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7bf2-1572-489d-9772-683d3d526c18" elementFormDefault="qualified">
    <xsd:import namespace="http://schemas.microsoft.com/office/2006/documentManagement/types"/>
    <xsd:import namespace="http://schemas.microsoft.com/office/infopath/2007/PartnerControls"/>
    <xsd:element name="EdaAuthors" ma:index="8" nillable="true" ma:displayName="Auteurs" ma:description="Who created/wrote this content? Use this field if author is working at the FDFA." ma:list="UserInfo" ma:internalName="EdaAutho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aOrganizationalUnitTaxHTField0" ma:index="13" nillable="true" ma:taxonomy="true" ma:internalName="EdaOrganizationalUnitTaxHTField0" ma:taxonomyFieldName="EdaOrganizationalUnit" ma:displayName="Unité d'organisation" ma:readOnly="false" ma:fieldId="{d7faa729-7880-4e8b-9b2b-87cad5039430}" ma:sspId="ab4a62fc-5d8d-41d4-b787-255179724a9b" ma:termSetId="a9937b23-ea8a-4dfa-ba99-986bb5fad0d7" ma:anchorId="00000000-0000-0000-0000-000000000000" ma:open="false" ma:isKeyword="false">
      <xsd:complexType>
        <xsd:sequence>
          <xsd:element ref="pc:Terms" minOccurs="0" maxOccurs="1"/>
        </xsd:sequence>
      </xsd:complexType>
    </xsd:element>
    <xsd:element name="EdaKeywordsTaxHTField0" ma:index="15" nillable="true" ma:taxonomy="true" ma:internalName="EdaKeywordsTaxHTField0" ma:taxonomyFieldName="EdaKeywords" ma:displayName="Mot-clés se référant au contenu" ma:readOnly="false" ma:fieldId="{733e2c01-7467-422d-9bdb-74857480c84f}" ma:taxonomyMulti="true" ma:sspId="ab4a62fc-5d8d-41d4-b787-255179724a9b" ma:termSetId="a20fce4e-e3ce-4727-8545-d8b18af4239a" ma:anchorId="00000000-0000-0000-0000-000000000000" ma:open="false" ma:isKeyword="false">
      <xsd:complexType>
        <xsd:sequence>
          <xsd:element ref="pc:Terms" minOccurs="0" maxOccurs="1"/>
        </xsd:sequence>
      </xsd:complexType>
    </xsd:element>
    <xsd:element name="EdaCountryTaxHTField0" ma:index="17" nillable="true" ma:taxonomy="true" ma:internalName="EdaCountryTaxHTField0" ma:taxonomyFieldName="EdaCountry" ma:displayName="Pays" ma:readOnly="false" ma:fieldId="{592b23a7-a6ed-4cac-9e06-00442f1c7635}" ma:taxonomyMulti="true" ma:sspId="ab4a62fc-5d8d-41d4-b787-255179724a9b" ma:termSetId="1fe5ef47-c6ce-4480-a535-428e1b98b482" ma:anchorId="00000000-0000-0000-0000-000000000000" ma:open="false" ma:isKeyword="false">
      <xsd:complexType>
        <xsd:sequence>
          <xsd:element ref="pc:Terms" minOccurs="0" maxOccurs="1"/>
        </xsd:sequence>
      </xsd:complexType>
    </xsd:element>
    <xsd:element name="EdaRegionTaxHTField0" ma:index="19" nillable="true" ma:taxonomy="true" ma:internalName="EdaRegionTaxHTField0" ma:taxonomyFieldName="EdaRegion" ma:displayName="Région" ma:readOnly="false" ma:fieldId="{9de79605-5bec-49e9-9886-1b7310b4bab3}" ma:taxonomyMulti="true" ma:sspId="ab4a62fc-5d8d-41d4-b787-255179724a9b" ma:termSetId="af26c78a-3b2c-4a6e-862a-a16c307f4be0" ma:anchorId="00000000-0000-0000-0000-000000000000" ma:open="false" ma:isKeyword="false">
      <xsd:complexType>
        <xsd:sequence>
          <xsd:element ref="pc:Terms" minOccurs="0" maxOccurs="1"/>
        </xsd:sequence>
      </xsd:complexType>
    </xsd:element>
    <xsd:element name="EdaLanguageTaxHTField0" ma:index="21" nillable="true" ma:taxonomy="true" ma:internalName="EdaLanguageTaxHTField0" ma:taxonomyFieldName="EdaLanguage" ma:displayName="Langue" ma:readOnly="false" ma:fieldId="{09a68249-7adb-4514-9dcd-a682473d1bc9}" ma:taxonomyMulti="true" ma:sspId="ab4a62fc-5d8d-41d4-b787-255179724a9b" ma:termSetId="186504dc-1256-40b1-94dc-57251ff389ec" ma:anchorId="00000000-0000-0000-0000-000000000000" ma:open="false" ma:isKeyword="false">
      <xsd:complexType>
        <xsd:sequence>
          <xsd:element ref="pc:Terms" minOccurs="0" maxOccurs="1"/>
        </xsd:sequence>
      </xsd:complexType>
    </xsd:element>
    <xsd:element name="EdaPartnerTaxHTField0" ma:index="23" nillable="true" ma:taxonomy="true" ma:internalName="EdaPartnerTaxHTField0" ma:taxonomyFieldName="EdaPartner" ma:displayName="Partenaire" ma:readOnly="false" ma:fieldId="{1081855e-5c5f-4e93-a6ea-3b6d8d8f39f8}" ma:taxonomyMulti="true" ma:sspId="ab4a62fc-5d8d-41d4-b787-255179724a9b" ma:termSetId="8a7566ee-f035-45e2-a552-5d9dd69da533" ma:anchorId="00000000-0000-0000-0000-000000000000" ma:open="false" ma:isKeyword="false">
      <xsd:complexType>
        <xsd:sequence>
          <xsd:element ref="pc:Terms" minOccurs="0" maxOccurs="1"/>
        </xsd:sequence>
      </xsd:complexType>
    </xsd:element>
    <xsd:element name="EdaThemeTaxHTField0" ma:index="25" nillable="true" ma:taxonomy="true" ma:internalName="EdaThemeTaxHTField0" ma:taxonomyFieldName="EdaTheme" ma:displayName="Thème" ma:readOnly="false" ma:fieldId="{4302551a-c942-4ee8-842c-483682fd8330}" ma:taxonomyMulti="true" ma:sspId="ab4a62fc-5d8d-41d4-b787-255179724a9b" ma:termSetId="ac963ebc-8cf8-4a71-bbc8-98e7fa8c642f" ma:anchorId="00000000-0000-0000-0000-000000000000" ma:open="false" ma:isKeyword="false">
      <xsd:complexType>
        <xsd:sequence>
          <xsd:element ref="pc:Terms" minOccurs="0" maxOccurs="1"/>
        </xsd:sequence>
      </xsd:complexType>
    </xsd:element>
    <xsd:element name="EdaSubThemeTaxHTField0" ma:index="27" nillable="true" ma:taxonomy="true" ma:internalName="EdaSubThemeTaxHTField0" ma:taxonomyFieldName="EdaSubTheme" ma:displayName="Sous-thème" ma:readOnly="false" ma:fieldId="{fc03a3a6-d982-47b5-99f4-8ac054d148ab}" ma:taxonomyMulti="true" ma:sspId="ab4a62fc-5d8d-41d4-b787-255179724a9b" ma:termSetId="9dd8651c-2a1c-41b8-b711-5c1cc80bd6e0" ma:anchorId="00000000-0000-0000-0000-000000000000" ma:open="false" ma:isKeyword="false">
      <xsd:complexType>
        <xsd:sequence>
          <xsd:element ref="pc:Terms" minOccurs="0" maxOccurs="1"/>
        </xsd:sequence>
      </xsd:complexType>
    </xsd:element>
    <xsd:element name="EdaContact" ma:index="29" nillable="true" ma:displayName="Publié par:" ma:description="Who published or uploaded this content?" ma:list="UserInfo" ma:SharePointGroup="0" ma:internalName="Eda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ClassificationTaxHTField0" ma:index="30" nillable="true" ma:taxonomy="true" ma:internalName="EdaArchiveClassificationTaxHTField0" ma:taxonomyFieldName="EdaArchiveClassification" ma:displayName="Valeur archivistique" ma:readOnly="false" ma:fieldId="{408903b5-190f-4d1f-a7da-ce949c9da7ca}" ma:sspId="ab4a62fc-5d8d-41d4-b787-255179724a9b" ma:termSetId="33f4ea42-d86b-4bbb-addc-fd8215fb0e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fc148-7a18-425d-9ce5-9981414a979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readOnly="false" ma:fieldId="{23f27201-bee3-471e-b2e7-b64fd8b7ca38}" ma:taxonomyMulti="true" ma:sspId="ab4a62fc-5d8d-41d4-b787-255179724a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4f36efee-4230-43e2-b59c-d67d6a14ce34}" ma:internalName="TaxCatchAll" ma:showField="CatchAllData" ma:web="3dafc148-7a18-425d-9ce5-9981414a979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4f36efee-4230-43e2-b59c-d67d6a14ce34}" ma:internalName="TaxCatchAllLabel" ma:readOnly="true" ma:showField="CatchAllDataLabel" ma:web="3dafc148-7a18-425d-9ce5-9981414a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dafc148-7a18-425d-9ce5-9981414a9793">
      <Terms xmlns="http://schemas.microsoft.com/office/infopath/2007/PartnerControls"/>
    </TaxKeywordTaxHTField>
    <EdaSubThemeTaxHTField0 xmlns="b88c7bf2-1572-489d-9772-683d3d526c18">
      <Terms xmlns="http://schemas.microsoft.com/office/infopath/2007/PartnerControls"/>
    </EdaSubThemeTaxHTField0>
    <EdaOrganizationalUnitTaxHTField0 xmlns="b88c7bf2-1572-489d-9772-683d3d526c18">
      <Terms xmlns="http://schemas.microsoft.com/office/infopath/2007/PartnerControls"/>
    </EdaOrganizationalUnitTaxHTField0>
    <EdaRegionTaxHTField0 xmlns="b88c7bf2-1572-489d-9772-683d3d526c18">
      <Terms xmlns="http://schemas.microsoft.com/office/infopath/2007/PartnerControls"/>
    </EdaRegionTaxHTField0>
    <EdaPartnerTaxHTField0 xmlns="b88c7bf2-1572-489d-9772-683d3d526c18">
      <Terms xmlns="http://schemas.microsoft.com/office/infopath/2007/PartnerControls"/>
    </EdaPartnerTaxHTField0>
    <EdaLanguageTaxHTField0 xmlns="b88c7bf2-1572-489d-9772-683d3d526c18">
      <Terms xmlns="http://schemas.microsoft.com/office/infopath/2007/PartnerControls"/>
    </EdaLanguageTaxHTField0>
    <EdaAuthors xmlns="b88c7bf2-1572-489d-9772-683d3d526c18">
      <UserInfo>
        <DisplayName/>
        <AccountId xsi:nil="true"/>
        <AccountType/>
      </UserInfo>
    </EdaAuthors>
    <EdaContact xmlns="b88c7bf2-1572-489d-9772-683d3d526c18">
      <UserInfo>
        <DisplayName/>
        <AccountId xsi:nil="true"/>
        <AccountType/>
      </UserInfo>
    </EdaContact>
    <TaxCatchAll xmlns="3dafc148-7a18-425d-9ce5-9981414a9793"/>
    <EdaCountryTaxHTField0 xmlns="b88c7bf2-1572-489d-9772-683d3d526c18">
      <Terms xmlns="http://schemas.microsoft.com/office/infopath/2007/PartnerControls"/>
    </EdaCountryTaxHTField0>
    <EdaThemeTaxHTField0 xmlns="b88c7bf2-1572-489d-9772-683d3d526c18">
      <Terms xmlns="http://schemas.microsoft.com/office/infopath/2007/PartnerControls"/>
    </EdaThemeTaxHTField0>
    <EdaKeywordsTaxHTField0 xmlns="b88c7bf2-1572-489d-9772-683d3d526c18">
      <Terms xmlns="http://schemas.microsoft.com/office/infopath/2007/PartnerControls"/>
    </EdaKeywordsTaxHTField0>
    <ArchiveClassificationTaxHTField0 xmlns="b88c7bf2-1572-489d-9772-683d3d526c18">
      <Terms xmlns="http://schemas.microsoft.com/office/infopath/2007/PartnerControls"/>
    </ArchiveClassificationTaxHTField0>
  </documentManagement>
</p:properties>
</file>

<file path=customXml/itemProps1.xml><?xml version="1.0" encoding="utf-8"?>
<ds:datastoreItem xmlns:ds="http://schemas.openxmlformats.org/officeDocument/2006/customXml" ds:itemID="{B6FA7149-2B2C-41C8-8767-C4191EF1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c7bf2-1572-489d-9772-683d3d526c18"/>
    <ds:schemaRef ds:uri="3dafc148-7a18-425d-9ce5-9981414a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4BD1A-99B3-41F8-AAE8-8B44F0675A30}">
  <ds:schemaRefs>
    <ds:schemaRef ds:uri="http://schemas.microsoft.com/sharepoint/v3/contenttype/forms"/>
  </ds:schemaRefs>
</ds:datastoreItem>
</file>

<file path=customXml/itemProps3.xml><?xml version="1.0" encoding="utf-8"?>
<ds:datastoreItem xmlns:ds="http://schemas.openxmlformats.org/officeDocument/2006/customXml" ds:itemID="{B29F3B9A-578D-47DE-83E2-0FEF2AE873E8}">
  <ds:schemaRefs>
    <ds:schemaRef ds:uri="http://schemas.openxmlformats.org/officeDocument/2006/bibliography"/>
  </ds:schemaRefs>
</ds:datastoreItem>
</file>

<file path=customXml/itemProps4.xml><?xml version="1.0" encoding="utf-8"?>
<ds:datastoreItem xmlns:ds="http://schemas.openxmlformats.org/officeDocument/2006/customXml" ds:itemID="{75B1864D-1289-44A5-B105-E834BB4486E7}">
  <ds:schemaRefs>
    <ds:schemaRef ds:uri="http://schemas.microsoft.com/office/2006/metadata/properties"/>
    <ds:schemaRef ds:uri="http://schemas.microsoft.com/office/infopath/2007/PartnerControls"/>
    <ds:schemaRef ds:uri="3dafc148-7a18-425d-9ce5-9981414a9793"/>
    <ds:schemaRef ds:uri="b88c7bf2-1572-489d-9772-683d3d526c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2646</Words>
  <Characters>15128</Characters>
  <Application>Microsoft Office Word</Application>
  <DocSecurity>4</DocSecurity>
  <Lines>126</Lines>
  <Paragraphs>35</Paragraphs>
  <ScaleCrop>false</ScaleCrop>
  <HeadingPairs>
    <vt:vector size="8" baseType="variant">
      <vt:variant>
        <vt:lpstr>Title</vt:lpstr>
      </vt:variant>
      <vt:variant>
        <vt:i4>1</vt:i4>
      </vt:variant>
      <vt:variant>
        <vt:lpstr>Titre</vt:lpstr>
      </vt:variant>
      <vt:variant>
        <vt:i4>1</vt:i4>
      </vt:variant>
      <vt:variant>
        <vt:lpstr>Tytuł</vt:lpstr>
      </vt:variant>
      <vt:variant>
        <vt:i4>1</vt:i4>
      </vt:variant>
      <vt:variant>
        <vt:lpstr>Titel</vt:lpstr>
      </vt:variant>
      <vt:variant>
        <vt:i4>1</vt:i4>
      </vt:variant>
    </vt:vector>
  </HeadingPairs>
  <TitlesOfParts>
    <vt:vector size="4" baseType="lpstr">
      <vt:lpstr>FRAMEWORK AGREEMENT</vt:lpstr>
      <vt:lpstr>FRAMEWORK AGREEMENT</vt:lpstr>
      <vt:lpstr>FRAMEWORK AGREEMENT</vt:lpstr>
      <vt:lpstr>FRAMEWORK AGREEMENT</vt:lpstr>
    </vt:vector>
  </TitlesOfParts>
  <Company>940 - EVD (Übergreifend)</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dc:title>
  <dc:subject/>
  <dc:creator>Liliana De Sá Kirchknopf</dc:creator>
  <cp:keywords/>
  <dc:description/>
  <cp:lastModifiedBy>Sulser Emmanuelle BK</cp:lastModifiedBy>
  <cp:revision>2</cp:revision>
  <cp:lastPrinted>2022-11-29T13:38:00Z</cp:lastPrinted>
  <dcterms:created xsi:type="dcterms:W3CDTF">2023-01-12T09:59:00Z</dcterms:created>
  <dcterms:modified xsi:type="dcterms:W3CDTF">2023-01-12T09:59:00Z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COO.2101.104.4.1183083</vt:lpwstr>
  </property>
  <property fmtid="{D5CDD505-2E9C-101B-9397-08002B2CF9AE}" pid="11" name="FSC#COOELAK@1.1001:Subject">
    <vt:lpwstr>DEUTSCH: In jedem der neuen EU-Mitgliedstaaten dient das bilaterale Abkommen als Grundlage für die Umsetzung des CH-Kohäsionsbeitrages. FRANCAIS: Dans chaque nouveau pays membres de l'UE, l'accord bilatéral sert de base à la mise en œuvre de la Contributi</vt:lpwstr>
  </property>
  <property fmtid="{D5CDD505-2E9C-101B-9397-08002B2CF9AE}" pid="12" name="FSC#COOELAK@1.1001:FileReference">
    <vt:lpwstr>855.1/2007/00897</vt:lpwstr>
  </property>
  <property fmtid="{D5CDD505-2E9C-101B-9397-08002B2CF9AE}" pid="13" name="FSC#COOELAK@1.1001:FileRefYear">
    <vt:lpwstr>2007</vt:lpwstr>
  </property>
  <property fmtid="{D5CDD505-2E9C-101B-9397-08002B2CF9AE}" pid="14" name="FSC#COOELAK@1.1001:FileRefOrdinal">
    <vt:lpwstr>897</vt:lpwstr>
  </property>
  <property fmtid="{D5CDD505-2E9C-101B-9397-08002B2CF9AE}" pid="15" name="FSC#COOELAK@1.1001:FileRefOU">
    <vt:lpwstr>WEKO / SECO</vt:lpwstr>
  </property>
  <property fmtid="{D5CDD505-2E9C-101B-9397-08002B2CF9AE}" pid="16" name="FSC#COOELAK@1.1001:Organization">
    <vt:lpwstr/>
  </property>
  <property fmtid="{D5CDD505-2E9C-101B-9397-08002B2CF9AE}" pid="17" name="FSC#COOELAK@1.1001:Owner">
    <vt:lpwstr>Ammann Ralph, SECO</vt:lpwstr>
  </property>
  <property fmtid="{D5CDD505-2E9C-101B-9397-08002B2CF9AE}" pid="18" name="FSC#COOELAK@1.1001:OwnerExtension">
    <vt:lpwstr>+41 58 464 00 58</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Erweiterungsbeitrag / Kohäsion (WEKO / SECO)</vt:lpwstr>
  </property>
  <property fmtid="{D5CDD505-2E9C-101B-9397-08002B2CF9AE}" pid="25" name="FSC#COOELAK@1.1001:CreatedAt">
    <vt:lpwstr>09.07.2015</vt:lpwstr>
  </property>
  <property fmtid="{D5CDD505-2E9C-101B-9397-08002B2CF9AE}" pid="26" name="FSC#COOELAK@1.1001:OU">
    <vt:lpwstr>Erweiterungsbeitrag / Kohäsion (WEKO / SECO)</vt:lpwstr>
  </property>
  <property fmtid="{D5CDD505-2E9C-101B-9397-08002B2CF9AE}" pid="27" name="FSC#COOELAK@1.1001:Priority">
    <vt:lpwstr> ()</vt:lpwstr>
  </property>
  <property fmtid="{D5CDD505-2E9C-101B-9397-08002B2CF9AE}" pid="28" name="FSC#COOELAK@1.1001:ObjBarCode">
    <vt:lpwstr>*COO.2101.104.4.1183083*</vt:lpwstr>
  </property>
  <property fmtid="{D5CDD505-2E9C-101B-9397-08002B2CF9AE}" pid="29" name="FSC#COOELAK@1.1001:RefBarCode">
    <vt:lpwstr>*COO.2101.104.4.1145767*</vt:lpwstr>
  </property>
  <property fmtid="{D5CDD505-2E9C-101B-9397-08002B2CF9AE}" pid="30" name="FSC#COOELAK@1.1001:FileRefBarCode">
    <vt:lpwstr>*855.1/2007/00897*</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855.1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855.1</vt:lpwstr>
  </property>
  <property fmtid="{D5CDD505-2E9C-101B-9397-08002B2CF9AE}" pid="50" name="FSC#EVDCFG@15.1400:Dossierref">
    <vt:lpwstr>855.1/2007/00897</vt:lpwstr>
  </property>
  <property fmtid="{D5CDD505-2E9C-101B-9397-08002B2CF9AE}" pid="51" name="FSC#EVDCFG@15.1400:FileRespEmail">
    <vt:lpwstr>ralph.ammann@seco.admin.ch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Ralph Ammann</vt:lpwstr>
  </property>
  <property fmtid="{D5CDD505-2E9C-101B-9397-08002B2CF9AE}" pid="55" name="FSC#EVDCFG@15.1400:FileRespOrg">
    <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amr</vt:lpwstr>
  </property>
  <property fmtid="{D5CDD505-2E9C-101B-9397-08002B2CF9AE}" pid="60" name="FSC#EVDCFG@15.1400:FileRespStreet">
    <vt:lpwstr>Holzikofenweg 36</vt:lpwstr>
  </property>
  <property fmtid="{D5CDD505-2E9C-101B-9397-08002B2CF9AE}" pid="61" name="FSC#EVDCFG@15.1400:FileRespTel">
    <vt:lpwstr>+41 58 464 00 58</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HR - Rahmenabkommen - final</vt:lpwstr>
  </property>
  <property fmtid="{D5CDD505-2E9C-101B-9397-08002B2CF9AE}" pid="76" name="FSC#EVDCFG@15.1400:UserFunction">
    <vt:lpwstr>Sachbearbeiter/in - WEKO / SECO</vt:lpwstr>
  </property>
  <property fmtid="{D5CDD505-2E9C-101B-9397-08002B2CF9AE}" pid="77" name="FSC#EVDCFG@15.1400:SalutationEnglish">
    <vt:lpwstr>Economic Cooperation and Development_x000d_
Contribution to EU enlargement / Cohesion</vt:lpwstr>
  </property>
  <property fmtid="{D5CDD505-2E9C-101B-9397-08002B2CF9AE}" pid="78" name="FSC#EVDCFG@15.1400:SalutationFrench">
    <vt:lpwstr>Coopération et Développement économiques_x000d_
Contribution à l’élargissement / Cohésion</vt:lpwstr>
  </property>
  <property fmtid="{D5CDD505-2E9C-101B-9397-08002B2CF9AE}" pid="79" name="FSC#EVDCFG@15.1400:SalutationGerman">
    <vt:lpwstr>Wirtschaftliche Zusammenarbeit und Entwicklung_x000d_
Erweiterungsbeitrag / Kohäsion</vt:lpwstr>
  </property>
  <property fmtid="{D5CDD505-2E9C-101B-9397-08002B2CF9AE}" pid="80" name="FSC#EVDCFG@15.1400:SalutationItalian">
    <vt:lpwstr>Cooperazione e sviluppo economici_x000d_
Contributo all’allargamento / Coesione</vt:lpwstr>
  </property>
  <property fmtid="{D5CDD505-2E9C-101B-9397-08002B2CF9AE}" pid="81" name="FSC#EVDCFG@15.1400:SalutationEnglishUser">
    <vt:lpwstr>Programme Manager</vt:lpwstr>
  </property>
  <property fmtid="{D5CDD505-2E9C-101B-9397-08002B2CF9AE}" pid="82" name="FSC#EVDCFG@15.1400:SalutationFrenchUser">
    <vt:lpwstr/>
  </property>
  <property fmtid="{D5CDD505-2E9C-101B-9397-08002B2CF9AE}" pid="83" name="FSC#EVDCFG@15.1400:SalutationGermanUser">
    <vt:lpwstr>Programm Manager</vt:lpwstr>
  </property>
  <property fmtid="{D5CDD505-2E9C-101B-9397-08002B2CF9AE}" pid="84" name="FSC#EVDCFG@15.1400:SalutationItalianUser">
    <vt:lpwstr/>
  </property>
  <property fmtid="{D5CDD505-2E9C-101B-9397-08002B2CF9AE}" pid="85" name="FSC#EVDCFG@15.1400:FileRespOrgShortname">
    <vt:lpwstr>WEKO / SECO</vt:lpwstr>
  </property>
  <property fmtid="{D5CDD505-2E9C-101B-9397-08002B2CF9AE}" pid="86" name="FSC#EVDCFG@15.1400:ActualVersionNumber">
    <vt:lpwstr>1</vt:lpwstr>
  </property>
  <property fmtid="{D5CDD505-2E9C-101B-9397-08002B2CF9AE}" pid="87" name="FSC#EVDCFG@15.1400:ActualVersionCreatedAt">
    <vt:lpwstr>2015-07-09T09:32:31</vt:lpwstr>
  </property>
  <property fmtid="{D5CDD505-2E9C-101B-9397-08002B2CF9AE}" pid="88" name="FSC#EVDCFG@15.1400:ResponsibleBureau_DE">
    <vt:lpwstr>Staatssekretariat für Wirtschaft SECO</vt:lpwstr>
  </property>
  <property fmtid="{D5CDD505-2E9C-101B-9397-08002B2CF9AE}" pid="89" name="FSC#EVDCFG@15.1400:ResponsibleBureau_EN">
    <vt:lpwstr>State Secretariat for Economic Affairs SECO</vt:lpwstr>
  </property>
  <property fmtid="{D5CDD505-2E9C-101B-9397-08002B2CF9AE}" pid="90" name="FSC#EVDCFG@15.1400:ResponsibleBureau_FR">
    <vt:lpwstr>Secrétariat d'Etat à l'économie SECO</vt:lpwstr>
  </property>
  <property fmtid="{D5CDD505-2E9C-101B-9397-08002B2CF9AE}" pid="91" name="FSC#EVDCFG@15.1400:ResponsibleBureau_IT">
    <vt:lpwstr>Segreteria di Stato dell’economia SECO</vt:lpwstr>
  </property>
  <property fmtid="{D5CDD505-2E9C-101B-9397-08002B2CF9AE}" pid="92" name="FSC#EVDCFG@15.1400:UserInChargeUserTitle">
    <vt:lpwstr/>
  </property>
  <property fmtid="{D5CDD505-2E9C-101B-9397-08002B2CF9AE}" pid="93" name="FSC#EVDCFG@15.1400:UserInChargeUserName">
    <vt:lpwstr>Ammann</vt:lpwstr>
  </property>
  <property fmtid="{D5CDD505-2E9C-101B-9397-08002B2CF9AE}" pid="94" name="FSC#EVDCFG@15.1400:UserInChargeUserFirstname">
    <vt:lpwstr/>
  </property>
  <property fmtid="{D5CDD505-2E9C-101B-9397-08002B2CF9AE}" pid="95" name="FSC#EVDCFG@15.1400:UserInChargeUserEnvSalutationDE">
    <vt:lpwstr>Programm Manager_x000d_
Programme Manager</vt:lpwstr>
  </property>
  <property fmtid="{D5CDD505-2E9C-101B-9397-08002B2CF9AE}" pid="96" name="FSC#EVDCFG@15.1400:UserInChargeUserEnvSalutationEN">
    <vt:lpwstr/>
  </property>
  <property fmtid="{D5CDD505-2E9C-101B-9397-08002B2CF9AE}" pid="97" name="FSC#EVDCFG@15.1400:UserInChargeUserEnvSalutationFR">
    <vt:lpwstr/>
  </property>
  <property fmtid="{D5CDD505-2E9C-101B-9397-08002B2CF9AE}" pid="98" name="FSC#EVDCFG@15.1400:UserInChargeUserEnvSalutationIT">
    <vt:lpwstr/>
  </property>
  <property fmtid="{D5CDD505-2E9C-101B-9397-08002B2CF9AE}" pid="99" name="FSC#EVDCFG@15.1400:FilerespUserPersonTitle">
    <vt:lpwstr>SECO</vt:lpwstr>
  </property>
  <property fmtid="{D5CDD505-2E9C-101B-9397-08002B2CF9AE}" pid="100" name="FSC#EVDCFG@15.1400:Address">
    <vt:lpwstr/>
  </property>
  <property fmtid="{D5CDD505-2E9C-101B-9397-08002B2CF9AE}" pid="101" name="FSC#COOELAK@1.1001:CurrentUserRolePos">
    <vt:lpwstr>Sachbearbeiter/in</vt:lpwstr>
  </property>
  <property fmtid="{D5CDD505-2E9C-101B-9397-08002B2CF9AE}" pid="102" name="FSC#COOELAK@1.1001:CurrentUserEmail">
    <vt:lpwstr>ralph.ammann@seco.admin.ch</vt:lpwstr>
  </property>
  <property fmtid="{D5CDD505-2E9C-101B-9397-08002B2CF9AE}" pid="103" name="FSC#EVDCFG@15.1400:UserInCharge">
    <vt:lpwstr/>
  </property>
  <property fmtid="{D5CDD505-2E9C-101B-9397-08002B2CF9AE}" pid="104" name="FSC#EVDCFG@15.1400:ResponsibleEditorFirstname">
    <vt:lpwstr>Ralph</vt:lpwstr>
  </property>
  <property fmtid="{D5CDD505-2E9C-101B-9397-08002B2CF9AE}" pid="105" name="FSC#EVDCFG@15.1400:ResponsibleEditorSurname">
    <vt:lpwstr>Ammann</vt:lpwstr>
  </property>
  <property fmtid="{D5CDD505-2E9C-101B-9397-08002B2CF9AE}" pid="106" name="FSC#EVDCFG@15.1400:GroupTitle">
    <vt:lpwstr>Erweiterungsbeitrag / Kohäsion</vt:lpwstr>
  </property>
  <property fmtid="{D5CDD505-2E9C-101B-9397-08002B2CF9AE}" pid="107" name="FSC#ATSTATECFG@1.1001:Office">
    <vt:lpwstr/>
  </property>
  <property fmtid="{D5CDD505-2E9C-101B-9397-08002B2CF9AE}" pid="108" name="FSC#ATSTATECFG@1.1001:Agent">
    <vt:lpwstr>SECO Ralph Ammann</vt:lpwstr>
  </property>
  <property fmtid="{D5CDD505-2E9C-101B-9397-08002B2CF9AE}" pid="109" name="FSC#ATSTATECFG@1.1001:AgentPhone">
    <vt:lpwstr>+41 58 464 00 58</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855.1/2007/00897/00015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0x010100DF9E862A2AC9FE4292C269C7D89F2D00</vt:lpwstr>
  </property>
</Properties>
</file>