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2.0 -->
  <w:body>
    <w:p>
      <w:pPr>
        <w:pStyle w:val="Zyan-Feld"/>
      </w:pPr>
      <w:r>
        <w:rPr>
          <w:vanish w:val="0"/>
          <w:color w:val="000000"/>
        </w:rPr>
        <w:fldChar w:fldCharType="begin"/>
      </w:r>
      <w:r>
        <w:rPr>
          <w:vanish w:val="0"/>
          <w:color w:val="000000"/>
        </w:rPr>
        <w:instrText xml:space="preserve"> SET SR_Nummer "0.510.136.1" \* MERGEFORMAT </w:instrText>
      </w:r>
      <w:r>
        <w:rPr>
          <w:vanish w:val="0"/>
          <w:color w:val="000000"/>
        </w:rPr>
        <w:fldChar w:fldCharType="separate"/>
      </w:r>
      <w:bookmarkStart w:id="0" w:name="SR_Nummer"/>
      <w:r>
        <w:rPr>
          <w:noProof/>
          <w:vanish w:val="0"/>
          <w:color w:val="000000"/>
        </w:rPr>
        <w:t>0.510.136.1</w:t>
      </w:r>
      <w:bookmarkEnd w:id="0"/>
      <w:r>
        <w:rPr>
          <w:vanish w:val="0"/>
          <w:color w:val="000000"/>
        </w:rPr>
        <w:fldChar w:fldCharType="end"/>
      </w:r>
      <w:r>
        <w:rPr>
          <w:vanish w:val="0"/>
          <w:color w:val="000000"/>
        </w:rPr>
        <w:fldChar w:fldCharType="begin"/>
      </w:r>
      <w:r>
        <w:rPr>
          <w:vanish w:val="0"/>
          <w:color w:val="000000"/>
        </w:rPr>
        <w:instrText xml:space="preserve"> SET Standd " (Stand am 29. September 2003)" </w:instrText>
      </w:r>
      <w:r>
        <w:rPr>
          <w:vanish w:val="0"/>
          <w:color w:val="000000"/>
        </w:rPr>
        <w:fldChar w:fldCharType="separate"/>
      </w:r>
      <w:bookmarkStart w:id="1" w:name="Standd"/>
      <w:r>
        <w:rPr>
          <w:noProof/>
          <w:vanish w:val="0"/>
          <w:color w:val="000000"/>
        </w:rPr>
        <w:t xml:space="preserve"> (Stand am 29. September 2003)</w:t>
      </w:r>
      <w:bookmarkEnd w:id="1"/>
      <w:r>
        <w:rPr>
          <w:vanish w:val="0"/>
          <w:color w:val="000000"/>
        </w:rPr>
        <w:fldChar w:fldCharType="end"/>
      </w:r>
    </w:p>
    <w:p>
      <w:pPr>
        <w:pStyle w:val="Zyan-Feld"/>
      </w:pPr>
      <w:r>
        <w:rPr>
          <w:rStyle w:val="FootnoteReference"/>
          <w:noProof w:val="0"/>
          <w:lang w:val="de-CH" w:eastAsia="de-DE"/>
        </w:rPr>
        <w:t>Nicht löschen bitte "</w:t>
      </w:r>
      <w:r>
        <w:rPr>
          <w:rStyle w:val="FootnoteReference"/>
          <w:noProof w:val="0"/>
          <w:lang w:val="de-CH" w:eastAsia="de-DE"/>
        </w:rPr>
        <w:footnoteReference w:customMarkFollows="1" w:id="2"/>
        <w:t xml:space="preserve"> </w:t>
      </w:r>
      <w:r>
        <w:t>" !!</w:t>
      </w:r>
    </w:p>
    <w:p>
      <w:pPr>
        <w:pStyle w:val="Zyan-Feld"/>
      </w:pPr>
      <w:r>
        <w:t>Generated by SR-Vorl.Dot, Freitag, 7. Januar 2022, 15:48:30, Trösch Bernard BK / TBB</w:t>
      </w:r>
    </w:p>
    <w:p>
      <w:pPr>
        <w:pStyle w:val="SRNummer"/>
      </w:pPr>
      <w:r>
        <w:fldChar w:fldCharType="begin"/>
      </w:r>
      <w:r>
        <w:instrText>REF SR_Nummer \h</w:instrText>
      </w:r>
      <w:r>
        <w:instrText xml:space="preserve"> \* MERGEFORMAT </w:instrText>
      </w:r>
      <w:r>
        <w:fldChar w:fldCharType="separate"/>
      </w:r>
      <w:r>
        <w:t>0.510.136.1</w:t>
      </w:r>
      <w:r>
        <w:fldChar w:fldCharType="end"/>
      </w:r>
      <w:r>
        <w:t xml:space="preserve"> </w:t>
      </w:r>
    </w:p>
    <w:p>
      <w:pPr>
        <w:pStyle w:val="Absatz09pt"/>
        <w:rPr>
          <w:i/>
        </w:rPr>
      </w:pPr>
      <w:r>
        <w:rPr>
          <w:i/>
        </w:rPr>
        <w:t>Originaltext</w:t>
      </w:r>
    </w:p>
    <w:p>
      <w:pPr>
        <w:pStyle w:val="Abstand4pt"/>
      </w:pPr>
    </w:p>
    <w:p>
      <w:pPr>
        <w:pStyle w:val="Abstand4pt"/>
      </w:pPr>
    </w:p>
    <w:p>
      <w:pPr>
        <w:pStyle w:val="ErlassTitel"/>
      </w:pPr>
      <w:r>
        <w:t>Vereinbarung</w:t>
      </w:r>
    </w:p>
    <w:p>
      <w:pPr>
        <w:pStyle w:val="ErlassTitel10pt"/>
      </w:pPr>
      <w:r>
        <w:t>zwischen dem Eidgenössischen Departement für Verteid</w:t>
      </w:r>
      <w:r>
        <w:t>i</w:t>
      </w:r>
      <w:r>
        <w:t>gung,</w:t>
        <w:br/>
        <w:t>Bevö</w:t>
      </w:r>
      <w:r>
        <w:t>l</w:t>
      </w:r>
      <w:r>
        <w:t>kerungsschutz und Sport handelnd für den Schweizerischen</w:t>
        <w:br/>
        <w:t>Bundesrat und dem Bundesministerium der Verteidigung</w:t>
        <w:br/>
        <w:t>der Bundesrepublik Deutschland über die Zusammenarbeit und</w:t>
        <w:br/>
        <w:t>gegenseitige U</w:t>
      </w:r>
      <w:r>
        <w:t>n</w:t>
      </w:r>
      <w:r>
        <w:t>terstützung im Einsatzgebiet im Zusammenhang</w:t>
        <w:br/>
        <w:t>mit der internationalen Siche</w:t>
      </w:r>
      <w:r>
        <w:t>r</w:t>
      </w:r>
      <w:r>
        <w:t>heitspräsenz im Kosovo (KFOR)</w:t>
      </w:r>
    </w:p>
    <w:p>
      <w:pPr>
        <w:pStyle w:val="Abstand18pt"/>
      </w:pPr>
    </w:p>
    <w:p>
      <w:pPr>
        <w:pStyle w:val="ErlassDatum"/>
      </w:pPr>
      <w:r>
        <w:t>Abgeschlossen und in Kraft getreten am 29. September 2003</w:t>
        <w:br/>
      </w:r>
      <w:r>
        <w:fldChar w:fldCharType="begin"/>
      </w:r>
      <w:r>
        <w:instrText xml:space="preserve"> REF Standd \h  \* MERGEFORMAT </w:instrText>
      </w:r>
      <w:r>
        <w:fldChar w:fldCharType="separate"/>
      </w:r>
      <w:r>
        <w:rPr>
          <w:color w:val="000000"/>
        </w:rPr>
        <w:t xml:space="preserve"> (Stand am 29. September 2003)</w:t>
      </w:r>
      <w:r>
        <w:fldChar w:fldCharType="end"/>
      </w:r>
    </w:p>
    <w:p>
      <w:pPr>
        <w:pStyle w:val="ErlassLinie"/>
        <w:pBdr>
          <w:top w:val="single" w:sz="6" w:space="5" w:color="auto"/>
        </w:pBdr>
      </w:pPr>
    </w:p>
    <w:p>
      <w:pPr>
        <w:pStyle w:val="Autor"/>
      </w:pPr>
      <w:r>
        <w:rPr>
          <w:color w:val="000000"/>
          <w:spacing w:val="-5"/>
        </w:rPr>
        <w:t>D</w:t>
      </w:r>
      <w:r>
        <w:t xml:space="preserve">as Eidgenössische Departement für Verteidigung, Bevölkerungsschutz und Sport, </w:t>
        <w:br/>
        <w:t>handelnd für den Schweizerischen Bundesrat</w:t>
      </w:r>
    </w:p>
    <w:p>
      <w:pPr>
        <w:pStyle w:val="Autor"/>
      </w:pPr>
      <w:r>
        <w:t>und</w:t>
        <w:br/>
        <w:t>das Bundesministerium der Ve</w:t>
      </w:r>
      <w:r>
        <w:t>r</w:t>
      </w:r>
      <w:r>
        <w:t>teidigung der Bundesrepublik Deutschland,</w:t>
      </w:r>
    </w:p>
    <w:p>
      <w:pPr>
        <w:pStyle w:val="Absatz"/>
      </w:pPr>
      <w:r>
        <w:t>eingedenk der Resolution Nr. 1244 (1999) des Sicherheitsrates der Vereinten Nati</w:t>
      </w:r>
      <w:r>
        <w:t>o</w:t>
      </w:r>
      <w:r>
        <w:t>nen,</w:t>
      </w:r>
    </w:p>
    <w:p>
      <w:pPr>
        <w:pStyle w:val="Absatz"/>
      </w:pPr>
      <w:r>
        <w:t>unter Hinweis auf die Notenwechsel zwischen der NATO und dem Schweizerischen Bundesrat über die Modalitäten und über finanzielle Aspekte der schweizerischen Beteiligung an der internationalen Sicherheitspräsenz im Kosovo</w:t>
      </w:r>
      <w:r>
        <w:rPr>
          <w:rStyle w:val="FootnoteReference"/>
        </w:rPr>
        <w:footnoteReference w:id="3"/>
      </w:r>
      <w:r>
        <w:t xml:space="preserve"> (KFOR),</w:t>
      </w:r>
    </w:p>
    <w:p>
      <w:pPr>
        <w:pStyle w:val="Absatz"/>
      </w:pPr>
      <w:r>
        <w:t>unter Berücksichtigung des Übereinkommens vom 19. Juni 1995</w:t>
      </w:r>
      <w:r>
        <w:rPr>
          <w:rStyle w:val="FootnoteReference"/>
        </w:rPr>
        <w:footnoteReference w:id="4"/>
      </w:r>
      <w:r>
        <w:t xml:space="preserve"> zwischen den Vertragsstaaten des Nordatlantikvertrags und den anderen an der Partnerschaft für den Frieden teilnehmenden Sta</w:t>
      </w:r>
      <w:r>
        <w:t>a</w:t>
      </w:r>
      <w:r>
        <w:t>ten über die Rechtsstellung ihrer Truppen und des Zusatzprotokolls vom 19. Juni 1995</w:t>
      </w:r>
      <w:r>
        <w:rPr>
          <w:rStyle w:val="FootnoteReference"/>
        </w:rPr>
        <w:footnoteReference w:id="5"/>
      </w:r>
      <w:r>
        <w:t xml:space="preserve"> zu dem Übereinkommen zwischen den Ve</w:t>
      </w:r>
      <w:r>
        <w:t>r</w:t>
      </w:r>
      <w:r>
        <w:t>tragsstaaten des Nordatlantikvertrags und den anderen an der Partnerschaft für den Frieden teilnehmenden Sta</w:t>
      </w:r>
      <w:r>
        <w:t>a</w:t>
      </w:r>
      <w:r>
        <w:t>ten über die Rechtsstellung ihrer Truppen und</w:t>
      </w:r>
    </w:p>
    <w:p>
      <w:pPr>
        <w:pStyle w:val="Absatz"/>
      </w:pPr>
      <w:r>
        <w:t>in dem Bestreben, gemeinsam zu den Stabilisierungs- und Wiederaufbaubestrebu</w:t>
      </w:r>
      <w:r>
        <w:t>n</w:t>
      </w:r>
      <w:r>
        <w:t>gen im Kosovo beizutragen und sich hierbei gemeinsam zum grösstmöglichen be</w:t>
      </w:r>
      <w:r>
        <w:t>i</w:t>
      </w:r>
      <w:r>
        <w:t>derseitigen Nutzen zu unterstützen –</w:t>
      </w:r>
    </w:p>
    <w:p>
      <w:pPr>
        <w:pStyle w:val="Verb"/>
      </w:pPr>
      <w:r>
        <w:t>sind wie folgt übereingekommen:</w:t>
      </w:r>
    </w:p>
    <w:p>
      <w:pPr>
        <w:pStyle w:val="Heading9"/>
      </w:pPr>
      <w:r>
        <w:rPr>
          <w:b/>
        </w:rPr>
        <w:t>Art. I</w:t>
      </w:r>
      <w:r>
        <w:tab/>
        <w:t>Gegenstand</w:t>
      </w:r>
    </w:p>
    <w:p>
      <w:pPr>
        <w:pStyle w:val="Absatz"/>
      </w:pPr>
      <w:r>
        <w:rPr>
          <w:position w:val="4"/>
          <w:sz w:val="13"/>
        </w:rPr>
        <w:t>1</w:t>
      </w:r>
      <w:r>
        <w:t> Mit dieser Vereinbarung werden die allgemeinen Grundsätze der Zusammenarbeit und der gegenseitigen Unterstützung der im Rahmen der internationalen Siche</w:t>
      </w:r>
      <w:r>
        <w:t>r</w:t>
      </w:r>
      <w:r>
        <w:t>heitspräsenz im Kosovo eingesetzten schweizerischen und deutschen Kontingente festgelegt.</w:t>
      </w:r>
    </w:p>
    <w:p>
      <w:pPr>
        <w:pStyle w:val="Absatz"/>
      </w:pPr>
      <w:r>
        <w:rPr>
          <w:position w:val="4"/>
          <w:sz w:val="13"/>
        </w:rPr>
        <w:t>2</w:t>
      </w:r>
      <w:r>
        <w:t> Die Durchführung dieser Vereinbarung erfolgt nach Massgabe gesonderter Durc</w:t>
      </w:r>
      <w:r>
        <w:t>h</w:t>
      </w:r>
      <w:r>
        <w:t>führungsvereinbarungen (Technical Agreement, TA), insbesondere in den Bereichen Logistik, Finanzen und Ausbildung.</w:t>
      </w:r>
    </w:p>
    <w:p>
      <w:pPr>
        <w:pStyle w:val="Heading9"/>
      </w:pPr>
      <w:r>
        <w:rPr>
          <w:b/>
        </w:rPr>
        <w:t>Art. II</w:t>
      </w:r>
      <w:r>
        <w:tab/>
        <w:t>Einsatzbedingungen</w:t>
      </w:r>
    </w:p>
    <w:p>
      <w:pPr>
        <w:pStyle w:val="Absatz"/>
      </w:pPr>
      <w:r>
        <w:t>Die Angehörigen der nationalen Kontingente unterstehen truppendienstlich und disziplinarisch dem jeweiligen nationalen Befehlshaber. Sie können bei Bedarf der Operational Control des Befehlshabers des Kontingents der anderen Partei zur Zusammenarbeit zugewiesen werden.</w:t>
      </w:r>
    </w:p>
    <w:p>
      <w:pPr>
        <w:pStyle w:val="Heading9"/>
      </w:pPr>
      <w:r>
        <w:rPr>
          <w:b/>
        </w:rPr>
        <w:t>Art. III</w:t>
      </w:r>
      <w:r>
        <w:tab/>
        <w:t>Nutzung von Liegenschaften und Einrichtungen</w:t>
      </w:r>
    </w:p>
    <w:p>
      <w:pPr>
        <w:pStyle w:val="Absatz"/>
      </w:pPr>
      <w:r>
        <w:rPr>
          <w:position w:val="4"/>
          <w:sz w:val="13"/>
        </w:rPr>
        <w:t>1</w:t>
      </w:r>
      <w:r>
        <w:t> Die Unterbringung der Angehörigen der Kontingente ist grundsätzlich eine nati</w:t>
      </w:r>
      <w:r>
        <w:t>o</w:t>
      </w:r>
      <w:r>
        <w:t>nale Aufgabe.</w:t>
      </w:r>
    </w:p>
    <w:p>
      <w:pPr>
        <w:pStyle w:val="Absatz"/>
      </w:pPr>
      <w:r>
        <w:rPr>
          <w:position w:val="4"/>
          <w:sz w:val="13"/>
        </w:rPr>
        <w:t>2</w:t>
      </w:r>
      <w:r>
        <w:t> Die Parteien können jedoch nach Massgabe gesonderter Durchführungsvereinb</w:t>
      </w:r>
      <w:r>
        <w:t>a</w:t>
      </w:r>
      <w:r>
        <w:t>rungen im Sinne des Artikels 1 Absatz 2 die Mitbenutzung bereits betriebener Li</w:t>
      </w:r>
      <w:r>
        <w:t>e</w:t>
      </w:r>
      <w:r>
        <w:t>genschaften und Einrichtungen durch die Angehörigen des Kontingents der jeweils anderen Partei vereinbaren.</w:t>
      </w:r>
    </w:p>
    <w:p>
      <w:pPr>
        <w:pStyle w:val="Absatz"/>
      </w:pPr>
      <w:r>
        <w:rPr>
          <w:position w:val="4"/>
          <w:sz w:val="13"/>
        </w:rPr>
        <w:t>3</w:t>
      </w:r>
      <w:r>
        <w:t> In diesen Durchführungsvereinbarungen sind Übereinkünfte hinsichtlich des Zei</w:t>
      </w:r>
      <w:r>
        <w:t>t</w:t>
      </w:r>
      <w:r>
        <w:t>punkts der Überlassung, der Lage und des Zustands zum Zeitpunkt der Überlassung, der Nutzungsdauer, der Verantwortlichkeiten und der Regelung von Koste</w:t>
      </w:r>
      <w:r>
        <w:t>n</w:t>
      </w:r>
      <w:r>
        <w:t>fragen zu treffen und in geeigneter Weise (Lagepläne, Begehungsprotokolle und so weiter) zu dokumentieren.</w:t>
      </w:r>
    </w:p>
    <w:p>
      <w:pPr>
        <w:pStyle w:val="Heading9"/>
      </w:pPr>
      <w:r>
        <w:rPr>
          <w:b/>
        </w:rPr>
        <w:t>Art. IV</w:t>
      </w:r>
      <w:r>
        <w:tab/>
        <w:t>Unterstützungsleistungen</w:t>
      </w:r>
    </w:p>
    <w:p>
      <w:pPr>
        <w:pStyle w:val="Absatz"/>
      </w:pPr>
      <w:r>
        <w:rPr>
          <w:position w:val="4"/>
          <w:sz w:val="13"/>
        </w:rPr>
        <w:t>1</w:t>
      </w:r>
      <w:r>
        <w:t> Die Parteien können sich gegenseitig im Rahmen ihrer Möglichkeiten Unterstü</w:t>
      </w:r>
      <w:r>
        <w:t>t</w:t>
      </w:r>
      <w:r>
        <w:t>zung durch Sach- und Dienstleistungen zusichern. Einzelheiten über Art, Dauer und Umfang der Unterstützung werden in Durchführungsvereinbarungen im Sinne des Artikels 1 Absatz 2 geregelt.</w:t>
      </w:r>
    </w:p>
    <w:p>
      <w:pPr>
        <w:pStyle w:val="Absatz"/>
      </w:pPr>
      <w:r>
        <w:rPr>
          <w:position w:val="4"/>
          <w:sz w:val="13"/>
        </w:rPr>
        <w:t>2</w:t>
      </w:r>
      <w:r>
        <w:t> Die Unterstützungsleistungen werden grundsätzlich gegen Entgelt gewährt. In den Durchführungsvereinbarungen kann die Unentgeltlichkeit bestimmter Leistungen, die Abrechnung mittels vereinbarter Kostensätze sowie ein Kostenverzicht für den Fall gegenseitiger Leistungen in einem wertmässig ausgewogenen Verhältnis ve</w:t>
      </w:r>
      <w:r>
        <w:t>r</w:t>
      </w:r>
      <w:r>
        <w:t>einbart werden.</w:t>
      </w:r>
    </w:p>
    <w:p>
      <w:pPr>
        <w:pStyle w:val="Absatz"/>
      </w:pPr>
      <w:r>
        <w:rPr>
          <w:position w:val="4"/>
          <w:sz w:val="13"/>
        </w:rPr>
        <w:t>3</w:t>
      </w:r>
      <w:r>
        <w:t> Die medizinische Versorgung (Role 2+) der Angehörigen des schweizerischen Kontingents kann im Einsatzlazarett des deutschen Kontingents in Prizren erfolgen. Die schweizerische Partei beteiligt sich durch Gestellung von Personal in einem angemessenen Umfang am Betrieb des Einsatzlazaretts; hierbei wird davon ausg</w:t>
      </w:r>
      <w:r>
        <w:t>e</w:t>
      </w:r>
      <w:r>
        <w:t>gangen, dass die von den Parteien insoweit erbrachten Leistungen in einem ausg</w:t>
      </w:r>
      <w:r>
        <w:t>e</w:t>
      </w:r>
      <w:r>
        <w:t>wogenen Verhältnis zu einander stehen.</w:t>
      </w:r>
    </w:p>
    <w:p>
      <w:pPr>
        <w:pStyle w:val="Abstand18pt"/>
      </w:pPr>
    </w:p>
    <w:p>
      <w:pPr>
        <w:pStyle w:val="Abstand18pt"/>
      </w:pPr>
    </w:p>
    <w:p>
      <w:pPr>
        <w:pStyle w:val="Heading9"/>
      </w:pPr>
      <w:r>
        <w:rPr>
          <w:b/>
        </w:rPr>
        <w:t>Art. V</w:t>
      </w:r>
      <w:r>
        <w:tab/>
        <w:t>Haftung</w:t>
      </w:r>
    </w:p>
    <w:p>
      <w:pPr>
        <w:pStyle w:val="Absatz"/>
        <w:rPr>
          <w:sz w:val="20"/>
        </w:rPr>
      </w:pPr>
      <w:r>
        <w:t>Jede Partei regelt Schäden, die Dritten in Durchführung dieser Vereinbarung oder einer Durchführungsvereinbarung zugefügt worden sind, in eigener Zuständigkeit. Sind beide Parteien am Schadensfall beteiligt oder ist es nicht möglich, die alleinige Verantwortung  einer einzigen Partei zuzuweisen, werden die Kosten für die Reg</w:t>
      </w:r>
      <w:r>
        <w:t>u</w:t>
      </w:r>
      <w:r>
        <w:t>lierung der Schäden einvernehmlich geteilt.</w:t>
      </w:r>
    </w:p>
    <w:p>
      <w:pPr>
        <w:pStyle w:val="Heading9"/>
      </w:pPr>
      <w:r>
        <w:rPr>
          <w:b/>
        </w:rPr>
        <w:t>Art. VI</w:t>
      </w:r>
      <w:r>
        <w:tab/>
        <w:t>Verhältnis zu bestehenden Vereinbarungen</w:t>
      </w:r>
    </w:p>
    <w:p>
      <w:pPr>
        <w:pStyle w:val="Absatz"/>
      </w:pPr>
      <w:r>
        <w:rPr>
          <w:position w:val="4"/>
          <w:sz w:val="13"/>
        </w:rPr>
        <w:t>1</w:t>
      </w:r>
      <w:r>
        <w:t> Auf diese Vereinbarung finden die Bestimmungen des Übereinkommens vom 19. Juni 1995 zwischen den Vertragsstaaten des Nordatlantikvertrags und den and</w:t>
      </w:r>
      <w:r>
        <w:t>e</w:t>
      </w:r>
      <w:r>
        <w:t>ren an der Partnerschaft für den Frieden teilnehmenden Staaten über die Rechtsste</w:t>
      </w:r>
      <w:r>
        <w:t>l</w:t>
      </w:r>
      <w:r>
        <w:t>lung ihrer Truppen und des Zusatzprotokolls vom 19. Juni 1995 zu dem Überei</w:t>
      </w:r>
      <w:r>
        <w:t>n</w:t>
      </w:r>
      <w:r>
        <w:t>kommen zwischen den Vertragsstaaten des Nordatlantikvertrags und den anderen an der Partnerschaft für den Frieden teilnehmenden Staaten über die Rechtsstellung ihrer Truppen Anwendung.</w:t>
      </w:r>
    </w:p>
    <w:p>
      <w:pPr>
        <w:pStyle w:val="Absatz"/>
      </w:pPr>
      <w:r>
        <w:rPr>
          <w:position w:val="4"/>
          <w:sz w:val="13"/>
        </w:rPr>
        <w:t>2</w:t>
      </w:r>
      <w:r>
        <w:t> Die Vereinbarung vom 30. September 2002</w:t>
      </w:r>
      <w:r>
        <w:rPr>
          <w:rStyle w:val="FootnoteReference"/>
        </w:rPr>
        <w:footnoteReference w:id="6"/>
      </w:r>
      <w:r>
        <w:t xml:space="preserve"> zwischen dem Departement für Verteidigung, Bevölkerungsschutz und Sport der Schweizerischen Eidgenosse</w:t>
      </w:r>
      <w:r>
        <w:t>n</w:t>
      </w:r>
      <w:r>
        <w:t>schaft und dem Bundesministerium der Verteidigung der Bundesrepublik Deutsc</w:t>
      </w:r>
      <w:r>
        <w:t>h</w:t>
      </w:r>
      <w:r>
        <w:t>land über die Zusammenarbeit zwischen der Gemischten Heeresflieger Abteilung der Multin</w:t>
      </w:r>
      <w:r>
        <w:t>a</w:t>
      </w:r>
      <w:r>
        <w:t>tionalen Brigade Süd und dem Schweizerischen Luftwaffendetachement im Zusammenhang mit der Internationalen Sicherheitspräsenz im Kosovo (KFOR) bleibt in Kraft. Sie wird als Durchführungsvereinbarung im Sinne des Artikels 1 Absatz 2 ang</w:t>
      </w:r>
      <w:r>
        <w:t>e</w:t>
      </w:r>
      <w:r>
        <w:t>sehen.</w:t>
      </w:r>
    </w:p>
    <w:p>
      <w:pPr>
        <w:pStyle w:val="Heading9"/>
      </w:pPr>
      <w:r>
        <w:rPr>
          <w:b/>
        </w:rPr>
        <w:t>Art. VII</w:t>
      </w:r>
      <w:r>
        <w:tab/>
        <w:t>Beilegung von Streitigkeiten</w:t>
      </w:r>
    </w:p>
    <w:p>
      <w:pPr>
        <w:pStyle w:val="Absatz"/>
      </w:pPr>
      <w:r>
        <w:t>Streitigkeiten im Hinblick auf die Anwendung und Auslegung dieser Vereinbarung werden einvernehmlich zwischen den Parteien beigelegt und nicht an ein internati</w:t>
      </w:r>
      <w:r>
        <w:t>o</w:t>
      </w:r>
      <w:r>
        <w:t>nales Gericht oder an Dritte verwiesen.</w:t>
      </w:r>
    </w:p>
    <w:p>
      <w:pPr>
        <w:pStyle w:val="Heading9"/>
      </w:pPr>
      <w:r>
        <w:rPr>
          <w:b/>
        </w:rPr>
        <w:t>Art. VIII</w:t>
      </w:r>
      <w:r>
        <w:tab/>
        <w:t>Schlussbestimmungen</w:t>
      </w:r>
    </w:p>
    <w:p>
      <w:pPr>
        <w:pStyle w:val="Absatz"/>
      </w:pPr>
      <w:r>
        <w:rPr>
          <w:position w:val="4"/>
          <w:sz w:val="13"/>
        </w:rPr>
        <w:t>1</w:t>
      </w:r>
      <w:r>
        <w:t> Diese Vereinbarung tritt mit dem Datum der Unterzeichnung in Kraft und wird auf unbestimmte Zeit geschlossen.</w:t>
      </w:r>
    </w:p>
    <w:p>
      <w:pPr>
        <w:pStyle w:val="Absatz"/>
      </w:pPr>
      <w:r>
        <w:rPr>
          <w:position w:val="4"/>
          <w:sz w:val="13"/>
        </w:rPr>
        <w:t>2</w:t>
      </w:r>
      <w:r>
        <w:t> Diese Vereinbarung kann in beiderseitigem Einvernehmen der Parteien geändert werden. Änderungen bedürfen der Schriftform.</w:t>
      </w:r>
    </w:p>
    <w:p>
      <w:pPr>
        <w:pStyle w:val="Absatz"/>
      </w:pPr>
      <w:r>
        <w:rPr>
          <w:position w:val="4"/>
          <w:sz w:val="13"/>
        </w:rPr>
        <w:t>3</w:t>
      </w:r>
      <w:r>
        <w:t> Sofern sich aus dieser Vereinbarung nichts Gegenteiliges ergibt, geht diese Ve</w:t>
      </w:r>
      <w:r>
        <w:t>r</w:t>
      </w:r>
      <w:r>
        <w:t>einbarung Durchführungsvereinbarungen im Sinne des Artikels 1 Absatz 2 vor. Im Falle von Widersprüchen ist diese Vereinbarung massgebend.</w:t>
      </w:r>
    </w:p>
    <w:p>
      <w:pPr>
        <w:pStyle w:val="Absatz"/>
      </w:pPr>
      <w:r>
        <w:rPr>
          <w:position w:val="4"/>
          <w:sz w:val="13"/>
        </w:rPr>
        <w:t>4</w:t>
      </w:r>
      <w:r>
        <w:t> Die Kündigung oder Beendigung in sonstiger Weise einer oder aller Durchfü</w:t>
      </w:r>
      <w:r>
        <w:t>h</w:t>
      </w:r>
      <w:r>
        <w:t>rungsvereinbarungen hat keine Auswirkung auf die fortwährende Gültigkeit dieser Vereinbarung.</w:t>
      </w:r>
    </w:p>
    <w:p>
      <w:pPr>
        <w:pStyle w:val="Absatz"/>
      </w:pPr>
      <w:r>
        <w:rPr>
          <w:position w:val="4"/>
          <w:sz w:val="13"/>
        </w:rPr>
        <w:t>5</w:t>
      </w:r>
      <w:r>
        <w:t> Diese Vereinbarung kann von jeder Partei unter Einhaltung einer Frist von drei Monaten gekündigt werden. Massgebend für die Berechnung der Frist ist der Tag des Eingangs bei der anderen Partei.</w:t>
      </w:r>
    </w:p>
    <w:p>
      <w:pPr>
        <w:pStyle w:val="Absatz"/>
      </w:pPr>
      <w:r>
        <w:rPr>
          <w:position w:val="4"/>
          <w:sz w:val="13"/>
        </w:rPr>
        <w:t>6</w:t>
      </w:r>
      <w:r>
        <w:t> Zum Zeitpunkt des Ausserkrafttretens dieser Vereinbarung anhängige rechtliche und finanzielle Verpflichtungen bestehen bis zu ihrer endgültigen Begleichung fort.</w:t>
      </w:r>
    </w:p>
    <w:p>
      <w:pPr>
        <w:pStyle w:val="Abstand18pt"/>
      </w:pPr>
    </w:p>
    <w:p>
      <w:pPr>
        <w:pStyle w:val="Absatz"/>
      </w:pPr>
      <w:r>
        <w:t>Geschehen zu Berlin am 29. September 2003 in zwei Urschriften, jede in deutscher Sprache.</w:t>
      </w:r>
    </w:p>
    <w:tbl>
      <w:tblPr>
        <w:tblStyle w:val="TableNormal"/>
        <w:tblW w:w="0" w:type="auto"/>
        <w:tblLayout w:type="fixed"/>
        <w:tblCellMar>
          <w:left w:w="0" w:type="dxa"/>
          <w:right w:w="0" w:type="dxa"/>
        </w:tblCellMar>
        <w:tblLook w:val="0000"/>
      </w:tblPr>
      <w:tblGrid>
        <w:gridCol w:w="3600"/>
        <w:gridCol w:w="2523"/>
      </w:tblGrid>
      <w:tr>
        <w:tblPrEx>
          <w:tblW w:w="0" w:type="auto"/>
          <w:tblLayout w:type="fixed"/>
          <w:tblCellMar>
            <w:left w:w="0" w:type="dxa"/>
            <w:right w:w="0" w:type="dxa"/>
          </w:tblCellMar>
          <w:tblLook w:val="0000"/>
        </w:tblPrEx>
        <w:trPr>
          <w:trHeight w:val="1400"/>
        </w:trPr>
        <w:tc>
          <w:tcPr>
            <w:tcW w:w="3600" w:type="dxa"/>
            <w:shd w:val="clear" w:color="auto" w:fill="auto"/>
          </w:tcPr>
          <w:p>
            <w:pPr>
              <w:pStyle w:val="Unterschriften1"/>
            </w:pPr>
            <w:r>
              <w:rPr>
                <w:spacing w:val="-5"/>
              </w:rPr>
              <w:t>Für das</w:t>
              <w:br/>
              <w:t>Eidgenössische Departement für</w:t>
              <w:br/>
              <w:t>Verteidigung, Bevö</w:t>
            </w:r>
            <w:r>
              <w:rPr>
                <w:spacing w:val="-5"/>
              </w:rPr>
              <w:t>l</w:t>
            </w:r>
            <w:r>
              <w:rPr>
                <w:spacing w:val="-5"/>
              </w:rPr>
              <w:t>kerungsschutz und Sport</w:t>
            </w:r>
          </w:p>
          <w:p>
            <w:pPr>
              <w:pStyle w:val="Unterschriften"/>
            </w:pPr>
            <w:r>
              <w:t>Samuel Schmid</w:t>
            </w:r>
          </w:p>
        </w:tc>
        <w:tc>
          <w:tcPr>
            <w:tcW w:w="2523" w:type="dxa"/>
            <w:shd w:val="clear" w:color="auto" w:fill="auto"/>
          </w:tcPr>
          <w:p>
            <w:pPr>
              <w:pStyle w:val="Unterschriften1"/>
            </w:pPr>
            <w:r>
              <w:rPr>
                <w:spacing w:val="-5"/>
              </w:rPr>
              <w:t>Für das</w:t>
              <w:br/>
              <w:t>Bundesministerium der Verteid</w:t>
            </w:r>
            <w:r>
              <w:rPr>
                <w:spacing w:val="-5"/>
              </w:rPr>
              <w:t>i</w:t>
            </w:r>
            <w:r>
              <w:rPr>
                <w:spacing w:val="-5"/>
              </w:rPr>
              <w:t>gung</w:t>
              <w:br/>
              <w:t>der Bu</w:t>
            </w:r>
            <w:r>
              <w:rPr>
                <w:spacing w:val="-5"/>
              </w:rPr>
              <w:t>n</w:t>
            </w:r>
            <w:r>
              <w:rPr>
                <w:spacing w:val="-5"/>
              </w:rPr>
              <w:t>desrepublik Deutschland</w:t>
            </w:r>
          </w:p>
          <w:p>
            <w:pPr>
              <w:pStyle w:val="Unterschriften"/>
            </w:pPr>
            <w:r>
              <w:t>Peter Struck</w:t>
            </w:r>
          </w:p>
        </w:tc>
      </w:tr>
    </w:tbl>
    <w:p>
      <w:pPr>
        <w:pStyle w:val="Abstand4pt"/>
      </w:pPr>
    </w:p>
    <w:sectPr>
      <w:headerReference w:type="even" r:id="rId5"/>
      <w:headerReference w:type="default" r:id="rId6"/>
      <w:footerReference w:type="even" r:id="rId7"/>
      <w:footerReference w:type="default" r:id="rId8"/>
      <w:footerReference w:type="first" r:id="rId9"/>
      <w:pgSz w:w="8392" w:h="11907" w:code="11"/>
      <w:pgMar w:top="737" w:right="680" w:bottom="850" w:left="1588" w:header="680" w:footer="567" w:gutter="0"/>
      <w:cols w:space="720"/>
      <w:titlePg/>
      <w:docGrid w:linePitch="2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PAGE</w:instrText>
    </w:r>
    <w:r>
      <w:fldChar w:fldCharType="separate"/>
    </w:r>
    <w:r>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r>
      <w:fldChar w:fldCharType="begin"/>
    </w:r>
    <w:r>
      <w:instrText>PAGE</w:instrText>
    </w:r>
    <w:r>
      <w:fldChar w:fldCharType="separate"/>
    </w:r>
    <w:r>
      <w:rPr>
        <w:noProof/>
      </w:rPr>
      <w:t>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r>
      <w:fldChar w:fldCharType="begin"/>
    </w:r>
    <w:r>
      <w:instrText>PAGE</w:instrText>
    </w:r>
    <w:r>
      <w:fldChar w:fldCharType="separate"/>
    </w:r>
    <w:r>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jc w:val="left"/>
        <w:rPr>
          <w:sz w:val="4"/>
        </w:rPr>
      </w:pPr>
      <w:r>
        <w:rPr>
          <w:sz w:val="4"/>
        </w:rPr>
        <w:t> </w:t>
      </w:r>
    </w:p>
  </w:footnote>
  <w:footnote w:type="continuationSeparator" w:id="1">
    <w:p>
      <w:pPr>
        <w:jc w:val="left"/>
        <w:rPr>
          <w:sz w:val="4"/>
        </w:rPr>
      </w:pPr>
      <w:r>
        <w:rPr>
          <w:sz w:val="4"/>
        </w:rPr>
        <w:t> </w:t>
      </w:r>
    </w:p>
  </w:footnote>
  <w:footnote w:id="2">
    <w:p>
      <w:pPr>
        <w:pStyle w:val="AS-Fussnote"/>
      </w:pPr>
      <w:r>
        <w:t xml:space="preserve"> AS </w:t>
      </w:r>
      <w:r>
        <w:rPr>
          <w:b/>
        </w:rPr>
        <w:t>2004</w:t>
      </w:r>
      <w:r>
        <w:t xml:space="preserve"> 3665</w:t>
      </w:r>
    </w:p>
  </w:footnote>
  <w:footnote w:id="3">
    <w:p>
      <w:pPr>
        <w:pStyle w:val="FootnoteText"/>
      </w:pPr>
      <w:r>
        <w:rPr>
          <w:rStyle w:val="FootnoteReference"/>
        </w:rPr>
        <w:footnoteRef/>
      </w:r>
      <w:r>
        <w:tab/>
        <w:t>In der AS nicht veröffentlicht.</w:t>
      </w:r>
    </w:p>
  </w:footnote>
  <w:footnote w:id="4">
    <w:p>
      <w:pPr>
        <w:pStyle w:val="FootnoteText"/>
        <w:rPr>
          <w:b/>
        </w:rPr>
      </w:pPr>
      <w:r>
        <w:rPr>
          <w:rStyle w:val="FootnoteReference"/>
        </w:rPr>
        <w:footnoteRef/>
      </w:r>
      <w:r>
        <w:tab/>
        <w:t xml:space="preserve">SR </w:t>
      </w:r>
      <w:r>
        <w:rPr>
          <w:b/>
        </w:rPr>
        <w:t>0.510.1</w:t>
      </w:r>
    </w:p>
  </w:footnote>
  <w:footnote w:id="5">
    <w:p>
      <w:pPr>
        <w:pStyle w:val="FootnoteText"/>
      </w:pPr>
      <w:r>
        <w:rPr>
          <w:rStyle w:val="FootnoteReference"/>
        </w:rPr>
        <w:footnoteRef/>
      </w:r>
      <w:r>
        <w:tab/>
        <w:t xml:space="preserve">SR </w:t>
      </w:r>
      <w:r>
        <w:rPr>
          <w:b/>
        </w:rPr>
        <w:t>0.510.11</w:t>
      </w:r>
    </w:p>
  </w:footnote>
  <w:footnote w:id="6">
    <w:p>
      <w:pPr>
        <w:pStyle w:val="FootnoteText"/>
      </w:pPr>
      <w:r>
        <w:rPr>
          <w:rStyle w:val="FootnoteReference"/>
        </w:rPr>
        <w:footnoteRef/>
      </w:r>
      <w:r>
        <w:tab/>
        <w:t>In der AS nicht veröffentlicht.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SR"/>
    </w:pPr>
    <w:r>
      <w:fldChar w:fldCharType="begin"/>
    </w:r>
    <w:r>
      <w:instrText>REF SR_Nummer \h</w:instrText>
    </w:r>
    <w:r>
      <w:instrText xml:space="preserve"> \* MERGEFORMAT </w:instrText>
    </w:r>
    <w:r>
      <w:fldChar w:fldCharType="separate"/>
    </w:r>
    <w:r>
      <w:t>0.510.136.1</w:t>
    </w:r>
    <w:r>
      <w:fldChar w:fldCharType="end"/>
    </w:r>
  </w:p>
  <w:p>
    <w:pPr>
      <w:pStyle w:val="Header"/>
      <w:jc w:val="right"/>
    </w:pPr>
    <w:r>
      <w:t>Status von Angehörigen der Armee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SR"/>
    </w:pPr>
    <w:r>
      <w:fldChar w:fldCharType="begin"/>
    </w:r>
    <w:r>
      <w:instrText>REF SR_Nummer \h</w:instrText>
    </w:r>
    <w:r>
      <w:instrText xml:space="preserve"> \* MERGEFORMAT </w:instrText>
    </w:r>
    <w:r>
      <w:fldChar w:fldCharType="separate"/>
    </w:r>
    <w:r>
      <w:t>0.510.136.1</w:t>
    </w:r>
    <w:r>
      <w:fldChar w:fldCharType="end"/>
    </w:r>
  </w:p>
  <w:p>
    <w:pPr>
      <w:pStyle w:val="Header"/>
    </w:pPr>
    <w:r>
      <w:t>Zusammenarbeit und gegenseitige U</w:t>
    </w:r>
    <w:r>
      <w:t>n</w:t>
    </w:r>
    <w:r>
      <w:t xml:space="preserve">terstützung im Einsatzgebiet im </w:t>
      <w:br/>
      <w:t>Zusammenhang mit der KFOR - Vereinb. mit Deutschland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mirrorMargins/>
  <w:attachedTemplate r:id="rId1"/>
  <w:linkStyles/>
  <w:stylePaneFormatFilter w:val="1801"/>
  <w:doNotTrackMoves/>
  <w:defaultTabStop w:val="686"/>
  <w:clickAndTypeStyle w:val="Absatz"/>
  <w:autoHyphenation/>
  <w:consecutiveHyphenLimit w:val="3"/>
  <w:hyphenationZone w:val="460"/>
  <w:doNotHyphenateCaps/>
  <w:evenAndOddHeaders/>
  <w:displayHorizontalDrawingGridEvery w:val="0"/>
  <w:displayVerticalDrawingGridEvery w:val="0"/>
  <w:doNotUseMarginsForDrawingGridOrigin/>
  <w:drawingGridHorizontalOrigin w:val="1701"/>
  <w:drawingGridVerticalOrigin w:val="1984"/>
  <w:doNotShadeFormData/>
  <w:noPunctuationKerning/>
  <w:characterSpacingControl w:val="doNotCompress"/>
  <w:footnotePr>
    <w:footnote w:id="0"/>
    <w:footnote w:id="1"/>
  </w:footnotePr>
  <w:compat>
    <w:spaceForUL/>
    <w:balanceSingleByteDoubleByteWidth/>
    <w:doNotLeaveBackslashAlone/>
    <w:ulTrailSpace/>
    <w:suppressBottomSpacing/>
    <w:suppressTopSpacing/>
    <w:suppressSpacingAtTopOfPage/>
    <w:suppressSpBfAfterPgBrk/>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pPr>
      <w:spacing w:before="60" w:line="200" w:lineRule="exact"/>
      <w:jc w:val="both"/>
    </w:pPr>
    <w:rPr>
      <w:color w:val="FF00FF"/>
      <w:sz w:val="18"/>
      <w:lang w:val="de-CH" w:eastAsia="de-DE" w:bidi="ar-SA"/>
    </w:rPr>
  </w:style>
  <w:style w:type="paragraph" w:styleId="Heading1">
    <w:name w:val="heading 1"/>
    <w:qFormat/>
    <w:pPr>
      <w:keepNext/>
      <w:keepLines/>
      <w:tabs>
        <w:tab w:val="left" w:pos="1134"/>
      </w:tabs>
      <w:suppressAutoHyphens/>
      <w:spacing w:before="80" w:line="200" w:lineRule="exact"/>
      <w:outlineLvl w:val="0"/>
    </w:pPr>
    <w:rPr>
      <w:b/>
      <w:lang w:val="de-CH" w:eastAsia="de-DE" w:bidi="ar-SA"/>
    </w:rPr>
  </w:style>
  <w:style w:type="paragraph" w:styleId="Heading2">
    <w:name w:val="heading 2"/>
    <w:basedOn w:val="Heading1"/>
    <w:qFormat/>
    <w:pPr>
      <w:outlineLvl w:val="1"/>
    </w:pPr>
  </w:style>
  <w:style w:type="paragraph" w:styleId="Heading3">
    <w:name w:val="heading 3"/>
    <w:basedOn w:val="Heading1"/>
    <w:qFormat/>
    <w:pPr>
      <w:outlineLvl w:val="2"/>
    </w:pPr>
  </w:style>
  <w:style w:type="paragraph" w:styleId="Heading4">
    <w:name w:val="heading 4"/>
    <w:basedOn w:val="Heading1"/>
    <w:qFormat/>
    <w:pPr>
      <w:outlineLvl w:val="3"/>
    </w:pPr>
  </w:style>
  <w:style w:type="paragraph" w:styleId="Heading5">
    <w:name w:val="heading 5"/>
    <w:qFormat/>
    <w:pPr>
      <w:keepNext/>
      <w:keepLines/>
      <w:framePr w:w="907" w:wrap="around" w:vAnchor="text" w:hAnchor="text" w:x="-1020" w:y="63"/>
      <w:spacing w:before="40" w:line="130" w:lineRule="exact"/>
      <w:outlineLvl w:val="4"/>
    </w:pPr>
    <w:rPr>
      <w:sz w:val="13"/>
      <w:lang w:val="de-CH" w:eastAsia="de-DE" w:bidi="ar-SA"/>
    </w:rPr>
  </w:style>
  <w:style w:type="paragraph" w:styleId="Heading6">
    <w:name w:val="heading 6"/>
    <w:basedOn w:val="Heading5"/>
    <w:qFormat/>
    <w:pPr>
      <w:outlineLvl w:val="5"/>
    </w:pPr>
  </w:style>
  <w:style w:type="paragraph" w:styleId="Heading7">
    <w:name w:val="heading 7"/>
    <w:basedOn w:val="Heading5"/>
    <w:qFormat/>
    <w:pPr>
      <w:outlineLvl w:val="6"/>
    </w:pPr>
  </w:style>
  <w:style w:type="paragraph" w:styleId="Heading8">
    <w:name w:val="heading 8"/>
    <w:basedOn w:val="Heading5"/>
    <w:qFormat/>
    <w:pPr>
      <w:outlineLvl w:val="7"/>
    </w:pPr>
  </w:style>
  <w:style w:type="paragraph" w:styleId="Heading9">
    <w:name w:val="heading 9"/>
    <w:qFormat/>
    <w:pPr>
      <w:keepNext/>
      <w:keepLines/>
      <w:tabs>
        <w:tab w:val="left" w:pos="1134"/>
      </w:tabs>
      <w:suppressAutoHyphens/>
      <w:spacing w:before="280" w:line="200" w:lineRule="exact"/>
      <w:ind w:left="1134" w:hanging="1134"/>
      <w:outlineLvl w:val="8"/>
    </w:pPr>
    <w:rPr>
      <w:sz w:val="18"/>
      <w:lang w:val="de-CH" w:eastAsia="de-DE" w:bidi="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val="de-CH" w:eastAsia="de-DE" w:bidi="ar-SA"/>
    </w:rPr>
  </w:style>
  <w:style w:type="paragraph" w:styleId="Footer">
    <w:name w:val="footer"/>
    <w:pPr>
      <w:spacing w:before="260" w:line="200" w:lineRule="exact"/>
    </w:pPr>
    <w:rPr>
      <w:sz w:val="18"/>
      <w:lang w:val="de-CH" w:eastAsia="de-DE" w:bidi="ar-SA"/>
    </w:rPr>
  </w:style>
  <w:style w:type="paragraph" w:styleId="Header">
    <w:name w:val="header"/>
    <w:pPr>
      <w:pBdr>
        <w:bottom w:val="single" w:sz="6" w:space="5" w:color="auto"/>
      </w:pBdr>
      <w:suppressAutoHyphens/>
      <w:spacing w:after="320" w:line="180" w:lineRule="exact"/>
    </w:pPr>
    <w:rPr>
      <w:sz w:val="16"/>
      <w:lang w:val="de-CH" w:eastAsia="de-DE" w:bidi="ar-SA"/>
    </w:rPr>
  </w:style>
  <w:style w:type="character" w:styleId="FootnoteReference">
    <w:name w:val="footnote reference"/>
    <w:rPr>
      <w:rFonts w:ascii="Times New Roman" w:hAnsi="Times New Roman"/>
      <w:noProof/>
      <w:position w:val="4"/>
      <w:sz w:val="13"/>
    </w:rPr>
  </w:style>
  <w:style w:type="paragraph" w:styleId="FootnoteText">
    <w:name w:val="footnote text"/>
    <w:pPr>
      <w:tabs>
        <w:tab w:val="left" w:pos="40"/>
      </w:tabs>
      <w:spacing w:line="160" w:lineRule="exact"/>
      <w:ind w:left="340" w:hanging="340"/>
    </w:pPr>
    <w:rPr>
      <w:sz w:val="16"/>
      <w:lang w:val="de-CH" w:eastAsia="de-DE" w:bidi="ar-SA"/>
    </w:rPr>
  </w:style>
  <w:style w:type="paragraph" w:customStyle="1" w:styleId="Absatz">
    <w:name w:val="Absatz"/>
    <w:pPr>
      <w:spacing w:before="80" w:line="200" w:lineRule="exact"/>
      <w:jc w:val="both"/>
    </w:pPr>
    <w:rPr>
      <w:sz w:val="18"/>
      <w:lang w:val="de-CH" w:eastAsia="de-DE" w:bidi="ar-SA"/>
    </w:rPr>
  </w:style>
  <w:style w:type="paragraph" w:customStyle="1" w:styleId="Autor">
    <w:name w:val="Autor"/>
    <w:next w:val="Ingress"/>
    <w:pPr>
      <w:keepNext/>
      <w:keepLines/>
      <w:suppressAutoHyphens/>
      <w:spacing w:line="200" w:lineRule="exact"/>
    </w:pPr>
    <w:rPr>
      <w:i/>
      <w:sz w:val="18"/>
      <w:lang w:val="de-CH" w:eastAsia="de-DE" w:bidi="ar-SA"/>
    </w:rPr>
  </w:style>
  <w:style w:type="paragraph" w:customStyle="1" w:styleId="Ingress">
    <w:name w:val="Ingress"/>
    <w:next w:val="Verb"/>
    <w:pPr>
      <w:suppressAutoHyphens/>
      <w:spacing w:before="60" w:line="200" w:lineRule="exact"/>
    </w:pPr>
    <w:rPr>
      <w:sz w:val="18"/>
      <w:lang w:val="de-CH" w:eastAsia="de-DE" w:bidi="ar-SA"/>
    </w:rPr>
  </w:style>
  <w:style w:type="paragraph" w:customStyle="1" w:styleId="Verb">
    <w:name w:val="Verb"/>
    <w:pPr>
      <w:suppressAutoHyphens/>
      <w:spacing w:before="60" w:after="360" w:line="200" w:lineRule="exact"/>
    </w:pPr>
    <w:rPr>
      <w:i/>
      <w:sz w:val="18"/>
      <w:lang w:val="de-CH" w:eastAsia="de-DE" w:bidi="ar-SA"/>
    </w:rPr>
  </w:style>
  <w:style w:type="paragraph" w:customStyle="1" w:styleId="ErlassDatum">
    <w:name w:val="Erlass Datum"/>
    <w:next w:val="ErlassLinie"/>
    <w:pPr>
      <w:keepNext/>
      <w:keepLines/>
      <w:spacing w:before="60" w:line="200" w:lineRule="exact"/>
    </w:pPr>
    <w:rPr>
      <w:sz w:val="18"/>
      <w:lang w:val="de-CH" w:eastAsia="de-DE" w:bidi="ar-SA"/>
    </w:rPr>
  </w:style>
  <w:style w:type="paragraph" w:customStyle="1" w:styleId="ErlassLinie">
    <w:name w:val="Erlass Linie"/>
    <w:next w:val="Autor"/>
    <w:pPr>
      <w:pBdr>
        <w:top w:val="single" w:sz="6" w:space="4" w:color="auto"/>
      </w:pBdr>
      <w:spacing w:before="200" w:line="200" w:lineRule="exact"/>
      <w:jc w:val="both"/>
    </w:pPr>
    <w:rPr>
      <w:sz w:val="18"/>
      <w:lang w:val="de-CH" w:eastAsia="de-DE" w:bidi="ar-SA"/>
    </w:rPr>
  </w:style>
  <w:style w:type="paragraph" w:customStyle="1" w:styleId="Inkrafttreten">
    <w:name w:val="Inkrafttreten"/>
    <w:pPr>
      <w:spacing w:before="400" w:line="160" w:lineRule="exact"/>
    </w:pPr>
    <w:rPr>
      <w:sz w:val="16"/>
      <w:lang w:val="de-CH" w:eastAsia="de-DE" w:bidi="ar-SA"/>
    </w:rPr>
  </w:style>
  <w:style w:type="paragraph" w:customStyle="1" w:styleId="Struktur2">
    <w:name w:val="Struktur 2"/>
    <w:pPr>
      <w:tabs>
        <w:tab w:val="left" w:pos="924"/>
      </w:tabs>
      <w:spacing w:before="40" w:line="200" w:lineRule="exact"/>
      <w:ind w:left="924" w:hanging="357"/>
      <w:jc w:val="both"/>
    </w:pPr>
    <w:rPr>
      <w:sz w:val="18"/>
      <w:lang w:val="de-CH" w:eastAsia="de-DE" w:bidi="ar-SA"/>
    </w:rPr>
  </w:style>
  <w:style w:type="paragraph" w:customStyle="1" w:styleId="Struktur18pt">
    <w:name w:val="Struktur 1 /8pt"/>
    <w:pPr>
      <w:tabs>
        <w:tab w:val="left" w:pos="527"/>
      </w:tabs>
      <w:spacing w:before="60" w:line="160" w:lineRule="exact"/>
      <w:ind w:left="528" w:hanging="318"/>
      <w:jc w:val="both"/>
    </w:pPr>
    <w:rPr>
      <w:sz w:val="16"/>
      <w:lang w:val="de-CH" w:eastAsia="de-DE" w:bidi="ar-SA"/>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val="de-CH" w:eastAsia="de-DE" w:bidi="ar-SA"/>
    </w:rPr>
  </w:style>
  <w:style w:type="paragraph" w:customStyle="1" w:styleId="Tab-Struktur108pt">
    <w:name w:val="Tab-Struktur 1 0/8pt"/>
    <w:pPr>
      <w:tabs>
        <w:tab w:val="left" w:pos="227"/>
      </w:tabs>
      <w:spacing w:line="160" w:lineRule="exact"/>
      <w:ind w:left="227" w:hanging="227"/>
    </w:pPr>
    <w:rPr>
      <w:sz w:val="16"/>
      <w:lang w:val="de-CH" w:eastAsia="de-DE" w:bidi="ar-SA"/>
    </w:rPr>
  </w:style>
  <w:style w:type="paragraph" w:customStyle="1" w:styleId="Struktur1">
    <w:name w:val="Struktur 1"/>
    <w:pPr>
      <w:tabs>
        <w:tab w:val="left" w:pos="567"/>
      </w:tabs>
      <w:spacing w:before="80" w:line="200" w:lineRule="exact"/>
      <w:ind w:left="567" w:hanging="357"/>
      <w:jc w:val="both"/>
    </w:pPr>
    <w:rPr>
      <w:sz w:val="18"/>
      <w:lang w:val="de-CH" w:eastAsia="de-DE" w:bidi="ar-SA"/>
    </w:rPr>
  </w:style>
  <w:style w:type="paragraph" w:customStyle="1" w:styleId="Tabkrper083pt">
    <w:name w:val="Tabkörper 0/8/3pt"/>
    <w:basedOn w:val="Tabkrper08pt"/>
    <w:qFormat/>
    <w:pPr>
      <w:spacing w:after="60"/>
    </w:pPr>
  </w:style>
  <w:style w:type="paragraph" w:customStyle="1" w:styleId="SRNummer">
    <w:name w:val="SR Nummer"/>
    <w:next w:val="ErlassTitel"/>
    <w:pPr>
      <w:framePr w:wrap="around" w:xAlign="outside" w:y="-123"/>
      <w:spacing w:line="240" w:lineRule="exact"/>
      <w:jc w:val="right"/>
    </w:pPr>
    <w:rPr>
      <w:b/>
      <w:sz w:val="24"/>
      <w:lang w:val="de-CH" w:eastAsia="de-DE" w:bidi="ar-SA"/>
    </w:rPr>
  </w:style>
  <w:style w:type="paragraph" w:customStyle="1" w:styleId="ErlassTitel">
    <w:name w:val="Erlass Titel"/>
    <w:next w:val="ErlassKurztitel"/>
    <w:pPr>
      <w:keepNext/>
      <w:keepLines/>
      <w:suppressAutoHyphens/>
      <w:spacing w:line="240" w:lineRule="exact"/>
    </w:pPr>
    <w:rPr>
      <w:b/>
      <w:sz w:val="24"/>
      <w:lang w:val="de-CH" w:eastAsia="de-DE" w:bidi="ar-SA"/>
    </w:rPr>
  </w:style>
  <w:style w:type="paragraph" w:customStyle="1" w:styleId="ErlassKurztitel">
    <w:name w:val="Erlass Kurztitel"/>
    <w:next w:val="ErlassDatum"/>
    <w:pPr>
      <w:keepNext/>
      <w:keepLines/>
      <w:suppressAutoHyphens/>
      <w:spacing w:before="80" w:line="200" w:lineRule="exact"/>
    </w:pPr>
    <w:rPr>
      <w:b/>
      <w:lang w:val="de-CH" w:eastAsia="de-DE" w:bidi="ar-SA"/>
    </w:rPr>
  </w:style>
  <w:style w:type="paragraph" w:customStyle="1" w:styleId="Struktur3">
    <w:name w:val="Struktur 3"/>
    <w:pPr>
      <w:tabs>
        <w:tab w:val="left" w:pos="1281"/>
      </w:tabs>
      <w:spacing w:line="200" w:lineRule="exact"/>
      <w:ind w:left="1281" w:hanging="357"/>
      <w:jc w:val="both"/>
    </w:pPr>
    <w:rPr>
      <w:sz w:val="18"/>
      <w:lang w:val="de-CH" w:eastAsia="de-DE" w:bidi="ar-SA"/>
    </w:rPr>
  </w:style>
  <w:style w:type="paragraph" w:customStyle="1" w:styleId="Struktur4">
    <w:name w:val="Struktur 4"/>
    <w:pPr>
      <w:tabs>
        <w:tab w:val="left" w:pos="1639"/>
      </w:tabs>
      <w:spacing w:line="200" w:lineRule="exact"/>
      <w:ind w:left="1638" w:hanging="357"/>
      <w:jc w:val="both"/>
    </w:pPr>
    <w:rPr>
      <w:sz w:val="18"/>
      <w:lang w:val="de-CH" w:eastAsia="de-DE" w:bidi="ar-SA"/>
    </w:rPr>
  </w:style>
  <w:style w:type="paragraph" w:customStyle="1" w:styleId="Struktur28pt">
    <w:name w:val="Struktur 2 /8pt"/>
    <w:pPr>
      <w:tabs>
        <w:tab w:val="left" w:pos="851"/>
      </w:tabs>
      <w:spacing w:before="20" w:line="160" w:lineRule="exact"/>
      <w:ind w:left="851" w:hanging="318"/>
      <w:jc w:val="both"/>
    </w:pPr>
    <w:rPr>
      <w:sz w:val="16"/>
      <w:lang w:val="de-CH" w:eastAsia="de-DE" w:bidi="ar-SA"/>
    </w:rPr>
  </w:style>
  <w:style w:type="paragraph" w:customStyle="1" w:styleId="Struktur38pt">
    <w:name w:val="Struktur 3 /8pt"/>
    <w:pPr>
      <w:tabs>
        <w:tab w:val="left" w:pos="1168"/>
      </w:tabs>
      <w:spacing w:line="160" w:lineRule="exact"/>
      <w:ind w:left="1169" w:hanging="318"/>
      <w:jc w:val="both"/>
    </w:pPr>
    <w:rPr>
      <w:sz w:val="16"/>
      <w:lang w:val="de-CH" w:eastAsia="de-DE" w:bidi="ar-SA"/>
    </w:rPr>
  </w:style>
  <w:style w:type="paragraph" w:customStyle="1" w:styleId="Referenz">
    <w:name w:val="Referenz"/>
    <w:pPr>
      <w:keepNext/>
      <w:keepLines/>
      <w:tabs>
        <w:tab w:val="left" w:pos="1134"/>
      </w:tabs>
      <w:spacing w:before="40" w:line="130" w:lineRule="exact"/>
    </w:pPr>
    <w:rPr>
      <w:sz w:val="13"/>
      <w:lang w:val="de-CH" w:eastAsia="de-DE" w:bidi="ar-SA"/>
    </w:rPr>
  </w:style>
  <w:style w:type="paragraph" w:customStyle="1" w:styleId="Struktur48pt">
    <w:name w:val="Struktur 4 /8pt"/>
    <w:pPr>
      <w:tabs>
        <w:tab w:val="left" w:pos="1486"/>
      </w:tabs>
      <w:spacing w:line="160" w:lineRule="exact"/>
      <w:ind w:left="1486" w:hanging="318"/>
      <w:jc w:val="both"/>
    </w:pPr>
    <w:rPr>
      <w:sz w:val="16"/>
      <w:lang w:val="de-CH" w:eastAsia="de-DE" w:bidi="ar-SA"/>
    </w:rPr>
  </w:style>
  <w:style w:type="paragraph" w:customStyle="1" w:styleId="Tabkrper08pt">
    <w:name w:val="Tabkörper 0/8pt"/>
    <w:pPr>
      <w:spacing w:line="160" w:lineRule="exact"/>
    </w:pPr>
    <w:rPr>
      <w:sz w:val="16"/>
      <w:lang w:val="de-CH" w:eastAsia="de-DE" w:bidi="ar-SA"/>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val="de-CH" w:eastAsia="de-DE" w:bidi="ar-SA"/>
    </w:rPr>
  </w:style>
  <w:style w:type="paragraph" w:customStyle="1" w:styleId="Tab-Untertit8pt">
    <w:name w:val="Tab-Untertit /8pt"/>
    <w:pPr>
      <w:keepNext/>
      <w:keepLines/>
      <w:spacing w:before="160" w:line="160" w:lineRule="exact"/>
    </w:pPr>
    <w:rPr>
      <w:b/>
      <w:sz w:val="16"/>
      <w:lang w:val="de-CH" w:eastAsia="de-DE" w:bidi="ar-SA"/>
    </w:rPr>
  </w:style>
  <w:style w:type="paragraph" w:customStyle="1" w:styleId="KopfzeileSR">
    <w:name w:val="Kopfzeile SR"/>
    <w:pPr>
      <w:framePr w:wrap="around" w:xAlign="outside" w:y="-124"/>
      <w:suppressAutoHyphens/>
      <w:spacing w:line="260" w:lineRule="exact"/>
    </w:pPr>
    <w:rPr>
      <w:b/>
      <w:sz w:val="18"/>
      <w:lang w:val="de-CH" w:eastAsia="de-DE" w:bidi="ar-SA"/>
    </w:rPr>
  </w:style>
  <w:style w:type="paragraph" w:customStyle="1" w:styleId="Tab-Untertit9pt">
    <w:name w:val="Tab-Untertit /9pt"/>
    <w:pPr>
      <w:keepNext/>
      <w:keepLines/>
      <w:spacing w:before="160" w:line="200" w:lineRule="exact"/>
    </w:pPr>
    <w:rPr>
      <w:b/>
      <w:sz w:val="18"/>
      <w:lang w:val="de-CH" w:eastAsia="de-DE" w:bidi="ar-SA"/>
    </w:rPr>
  </w:style>
  <w:style w:type="paragraph" w:customStyle="1" w:styleId="TitelAnhang">
    <w:name w:val="Titel Anhang"/>
    <w:pPr>
      <w:keepNext/>
      <w:keepLines/>
      <w:suppressAutoHyphens/>
      <w:spacing w:before="240" w:after="160" w:line="220" w:lineRule="exact"/>
      <w:outlineLvl w:val="1"/>
    </w:pPr>
    <w:rPr>
      <w:b/>
      <w:sz w:val="22"/>
      <w:lang w:val="de-CH" w:eastAsia="de-DE" w:bidi="ar-SA"/>
    </w:rPr>
  </w:style>
  <w:style w:type="paragraph" w:customStyle="1" w:styleId="Tab-Utit8pt-kurs">
    <w:name w:val="Tab-Utit /8pt-kurs"/>
    <w:pPr>
      <w:keepNext/>
      <w:keepLines/>
      <w:spacing w:before="120" w:line="160" w:lineRule="exact"/>
    </w:pPr>
    <w:rPr>
      <w:i/>
      <w:sz w:val="16"/>
      <w:lang w:val="de-CH" w:eastAsia="de-DE" w:bidi="ar-SA"/>
    </w:rPr>
  </w:style>
  <w:style w:type="paragraph" w:customStyle="1" w:styleId="TitelAnhText">
    <w:name w:val="Titel Anh Text"/>
    <w:pPr>
      <w:keepNext/>
      <w:keepLines/>
      <w:suppressAutoHyphens/>
      <w:spacing w:line="200" w:lineRule="exact"/>
      <w:jc w:val="right"/>
    </w:pPr>
    <w:rPr>
      <w:sz w:val="18"/>
      <w:lang w:val="de-CH" w:eastAsia="de-DE" w:bidi="ar-SA"/>
    </w:rPr>
  </w:style>
  <w:style w:type="paragraph" w:customStyle="1" w:styleId="TitelAnhKurztit">
    <w:name w:val="Titel Anh Kurztit"/>
    <w:pPr>
      <w:keepNext/>
      <w:suppressAutoHyphens/>
      <w:spacing w:before="80" w:line="200" w:lineRule="exact"/>
      <w:outlineLvl w:val="2"/>
    </w:pPr>
    <w:rPr>
      <w:b/>
      <w:lang w:val="de-CH" w:eastAsia="de-DE" w:bidi="ar-SA"/>
    </w:rPr>
  </w:style>
  <w:style w:type="paragraph" w:customStyle="1" w:styleId="TitelAnhrechts">
    <w:name w:val="Titel Anh rechts"/>
    <w:pPr>
      <w:keepNext/>
      <w:keepLines/>
      <w:pageBreakBefore/>
      <w:suppressAutoHyphens/>
      <w:spacing w:line="200" w:lineRule="exact"/>
      <w:jc w:val="right"/>
      <w:outlineLvl w:val="0"/>
    </w:pPr>
    <w:rPr>
      <w:i/>
      <w:sz w:val="18"/>
      <w:lang w:val="de-CH" w:eastAsia="de-DE" w:bidi="ar-SA"/>
    </w:rPr>
  </w:style>
  <w:style w:type="paragraph" w:customStyle="1" w:styleId="Tab-Utit9pt-kurs">
    <w:name w:val="Tab-Utit /9pt-kurs"/>
    <w:pPr>
      <w:keepNext/>
      <w:keepLines/>
      <w:spacing w:before="120" w:line="200" w:lineRule="exact"/>
    </w:pPr>
    <w:rPr>
      <w:i/>
      <w:sz w:val="18"/>
      <w:lang w:val="de-CH" w:eastAsia="de-DE" w:bidi="ar-SA"/>
    </w:rPr>
  </w:style>
  <w:style w:type="paragraph" w:customStyle="1" w:styleId="Absatz8pt">
    <w:name w:val="Absatz /8pt"/>
    <w:pPr>
      <w:spacing w:before="60" w:line="160" w:lineRule="exact"/>
      <w:jc w:val="both"/>
    </w:pPr>
    <w:rPr>
      <w:sz w:val="16"/>
      <w:lang w:val="de-CH" w:eastAsia="de-DE" w:bidi="ar-SA"/>
    </w:rPr>
  </w:style>
  <w:style w:type="paragraph" w:customStyle="1" w:styleId="FussnotentextMarg">
    <w:name w:val="Fussnotentext Marg"/>
    <w:pPr>
      <w:keepNext/>
      <w:keepLines/>
      <w:tabs>
        <w:tab w:val="left" w:pos="-980"/>
      </w:tabs>
      <w:spacing w:line="160" w:lineRule="exact"/>
      <w:ind w:left="-697" w:hanging="335"/>
    </w:pPr>
    <w:rPr>
      <w:sz w:val="16"/>
      <w:lang w:val="de-CH" w:eastAsia="de-DE" w:bidi="ar-SA"/>
    </w:rPr>
  </w:style>
  <w:style w:type="paragraph" w:customStyle="1" w:styleId="Zyan-Feld">
    <w:name w:val="Zyan-Feld"/>
    <w:pPr>
      <w:spacing w:line="180" w:lineRule="exact"/>
    </w:pPr>
    <w:rPr>
      <w:vanish/>
      <w:color w:val="00FFFF"/>
      <w:sz w:val="18"/>
      <w:lang w:val="de-CH" w:eastAsia="de-DE" w:bidi="ar-SA"/>
    </w:rPr>
  </w:style>
  <w:style w:type="paragraph" w:customStyle="1" w:styleId="UnterschriftenFI1">
    <w:name w:val="UnterschriftenFI 1"/>
    <w:basedOn w:val="Unterschriften1"/>
    <w:pPr>
      <w:tabs>
        <w:tab w:val="left" w:pos="1701"/>
        <w:tab w:val="clear" w:pos="2807"/>
      </w:tabs>
    </w:pPr>
  </w:style>
  <w:style w:type="paragraph" w:customStyle="1" w:styleId="Abstand18pt">
    <w:name w:val="Abstand /18pt"/>
    <w:pPr>
      <w:spacing w:before="340" w:line="20" w:lineRule="exact"/>
    </w:pPr>
    <w:rPr>
      <w:b/>
      <w:bCs/>
      <w:color w:val="008000"/>
      <w:sz w:val="290"/>
      <w:szCs w:val="290"/>
      <w:lang w:val="de-CH" w:eastAsia="de-DE" w:bidi="ar-SA"/>
    </w:rPr>
  </w:style>
  <w:style w:type="paragraph" w:customStyle="1" w:styleId="ZifferrmI">
    <w:name w:val="Ziffer röm. I"/>
    <w:pPr>
      <w:keepNext/>
      <w:keepLines/>
      <w:suppressAutoHyphens/>
      <w:spacing w:after="60" w:line="200" w:lineRule="exact"/>
    </w:pPr>
    <w:rPr>
      <w:sz w:val="18"/>
      <w:lang w:val="de-CH" w:eastAsia="de-DE" w:bidi="ar-SA"/>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val="de-CH" w:eastAsia="de-DE" w:bidi="ar-SA"/>
    </w:rPr>
  </w:style>
  <w:style w:type="paragraph" w:customStyle="1" w:styleId="ErlassDatumAend">
    <w:name w:val="Erlass Datum Aend"/>
    <w:next w:val="ErlassLinie"/>
    <w:pPr>
      <w:keepNext/>
      <w:keepLines/>
    </w:pPr>
    <w:rPr>
      <w:b/>
      <w:lang w:val="de-CH" w:eastAsia="de-DE" w:bidi="ar-SA"/>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after="8400" w:line="2400" w:lineRule="exact"/>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Unterschriften">
    <w:name w:val="Unterschriften"/>
    <w:basedOn w:val="Absatz"/>
    <w:pPr>
      <w:tabs>
        <w:tab w:val="left" w:pos="2807"/>
        <w:tab w:val="left" w:pos="3402"/>
        <w:tab w:val="right" w:pos="6112"/>
      </w:tabs>
      <w:suppressAutoHyphens/>
      <w:spacing w:before="120"/>
      <w:jc w:val="left"/>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FootnoteText"/>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styleId="Macro">
    <w:name w:val="macro"/>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val="de-CH" w:eastAsia="de-DE" w:bidi="ar-SA"/>
    </w:rPr>
  </w:style>
  <w:style w:type="paragraph" w:customStyle="1" w:styleId="KopfzeileMarg">
    <w:name w:val="Kopfzeile Marg"/>
    <w:basedOn w:val="Header"/>
    <w:pPr>
      <w:tabs>
        <w:tab w:val="right" w:pos="5103"/>
      </w:tabs>
      <w:ind w:left="-1021"/>
    </w:pPr>
  </w:style>
  <w:style w:type="character" w:styleId="PageNumber">
    <w:name w:val="page number"/>
    <w:rPr>
      <w:rFonts w:ascii="Times New Roman" w:hAnsi="Times New Roman"/>
      <w:noProof/>
    </w:rPr>
  </w:style>
  <w:style w:type="paragraph" w:customStyle="1" w:styleId="FuzeileMarg">
    <w:name w:val="Fußzeile Marg"/>
    <w:basedOn w:val="Footer"/>
    <w:pPr>
      <w:tabs>
        <w:tab w:val="right" w:pos="5103"/>
      </w:tabs>
      <w:ind w:left="-1021"/>
    </w:pPr>
  </w:style>
  <w:style w:type="paragraph" w:customStyle="1" w:styleId="Unterschriften1">
    <w:name w:val="Unterschriften 1"/>
    <w:basedOn w:val="Unterschriften"/>
    <w:pPr>
      <w:spacing w:before="480"/>
    </w:pPr>
  </w:style>
  <w:style w:type="character" w:customStyle="1" w:styleId="VerborgenKommentar">
    <w:name w:val="Verborgen (Kommentar)"/>
    <w:rPr>
      <w:rFonts w:ascii="Courier New" w:hAnsi="Courier New"/>
      <w:vanish/>
      <w:color w:val="FF00FF"/>
      <w:sz w:val="14"/>
    </w:r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 w:val="left" w:pos="567"/>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val="de-CH" w:eastAsia="de-DE" w:bidi="ar-SA"/>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TOC1">
    <w:name w:val="toc 1"/>
    <w:next w:val="Absatz"/>
    <w:pPr>
      <w:keepNext/>
      <w:keepLines/>
      <w:tabs>
        <w:tab w:val="right" w:pos="6124"/>
      </w:tabs>
      <w:suppressAutoHyphens/>
      <w:spacing w:before="160"/>
      <w:ind w:right="879"/>
    </w:pPr>
    <w:rPr>
      <w:b/>
      <w:sz w:val="22"/>
      <w:szCs w:val="22"/>
      <w:lang w:val="de-CH" w:eastAsia="de-DE" w:bidi="ar-SA"/>
    </w:rPr>
  </w:style>
  <w:style w:type="paragraph" w:styleId="TOC2">
    <w:name w:val="toc 2"/>
    <w:basedOn w:val="TOC1"/>
    <w:next w:val="Absatz"/>
    <w:pPr>
      <w:spacing w:before="120"/>
      <w:ind w:left="142"/>
    </w:pPr>
  </w:style>
  <w:style w:type="paragraph" w:styleId="TOC3">
    <w:name w:val="toc 3"/>
    <w:basedOn w:val="TOC2"/>
    <w:next w:val="Absatz"/>
    <w:pPr>
      <w:spacing w:before="100"/>
      <w:ind w:left="284"/>
    </w:pPr>
    <w:rPr>
      <w:bCs/>
      <w:sz w:val="20"/>
    </w:rPr>
  </w:style>
  <w:style w:type="paragraph" w:styleId="TOC4">
    <w:name w:val="toc 4"/>
    <w:basedOn w:val="TOC3"/>
    <w:next w:val="Absatz"/>
    <w:pPr>
      <w:spacing w:before="80"/>
      <w:ind w:left="425"/>
    </w:pPr>
    <w:rPr>
      <w:bCs w:val="0"/>
    </w:rPr>
  </w:style>
  <w:style w:type="paragraph" w:styleId="TOC5">
    <w:name w:val="toc 5"/>
    <w:basedOn w:val="TOC4"/>
    <w:next w:val="Absatz"/>
    <w:pPr>
      <w:keepNext w:val="0"/>
      <w:keepLines w:val="0"/>
      <w:tabs>
        <w:tab w:val="right" w:leader="dot" w:pos="6124"/>
      </w:tabs>
      <w:spacing w:before="60"/>
      <w:ind w:left="567"/>
    </w:pPr>
    <w:rPr>
      <w:b w:val="0"/>
      <w:bCs/>
      <w:szCs w:val="20"/>
    </w:rPr>
  </w:style>
  <w:style w:type="paragraph" w:styleId="TOC6">
    <w:name w:val="toc 6"/>
    <w:basedOn w:val="TOC5"/>
    <w:next w:val="Absatz"/>
    <w:pPr>
      <w:spacing w:before="40"/>
      <w:ind w:left="709"/>
    </w:pPr>
    <w:rPr>
      <w:bCs w:val="0"/>
      <w:sz w:val="18"/>
    </w:rPr>
  </w:style>
  <w:style w:type="paragraph" w:styleId="TOC7">
    <w:name w:val="toc 7"/>
    <w:basedOn w:val="TOC6"/>
    <w:next w:val="Absatz"/>
    <w:pPr>
      <w:ind w:left="851"/>
    </w:pPr>
  </w:style>
  <w:style w:type="paragraph" w:styleId="TOC8">
    <w:name w:val="toc 8"/>
    <w:basedOn w:val="TOC7"/>
    <w:next w:val="Absatz"/>
    <w:pPr>
      <w:ind w:left="993"/>
    </w:pPr>
  </w:style>
  <w:style w:type="paragraph" w:styleId="TOC9">
    <w:name w:val="toc 9"/>
    <w:basedOn w:val="TOC8"/>
    <w:next w:val="Absatz"/>
  </w:style>
  <w:style w:type="paragraph" w:customStyle="1" w:styleId="Inhaltsverzeichnis">
    <w:name w:val="Inhaltsverzeichnis"/>
    <w:basedOn w:val="Normal"/>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Heading1"/>
    <w:pPr>
      <w:tabs>
        <w:tab w:val="left" w:pos="567"/>
      </w:tabs>
      <w:outlineLvl w:val="3"/>
    </w:pPr>
  </w:style>
  <w:style w:type="paragraph" w:customStyle="1" w:styleId="TitelAnh2">
    <w:name w:val="Titel Anh 2"/>
    <w:basedOn w:val="Heading2"/>
    <w:pPr>
      <w:tabs>
        <w:tab w:val="left" w:pos="567"/>
      </w:tabs>
      <w:outlineLvl w:val="4"/>
    </w:pPr>
  </w:style>
  <w:style w:type="paragraph" w:customStyle="1" w:styleId="TitelAnh3">
    <w:name w:val="Titel Anh 3"/>
    <w:basedOn w:val="Heading3"/>
    <w:pPr>
      <w:tabs>
        <w:tab w:val="left" w:pos="567"/>
      </w:tabs>
      <w:outlineLvl w:val="5"/>
    </w:pPr>
  </w:style>
  <w:style w:type="paragraph" w:customStyle="1" w:styleId="TitelAnh4">
    <w:name w:val="Titel Anh 4"/>
    <w:basedOn w:val="Heading4"/>
    <w:pPr>
      <w:tabs>
        <w:tab w:val="left" w:pos="567"/>
      </w:tabs>
      <w:outlineLvl w:val="6"/>
    </w:pPr>
  </w:style>
  <w:style w:type="paragraph" w:customStyle="1" w:styleId="Error">
    <w:name w:val="Error"/>
    <w:rPr>
      <w:rFonts w:ascii="Arial" w:hAnsi="Arial"/>
      <w:i/>
      <w:color w:val="FF0000"/>
      <w:lang w:val="de-CH" w:eastAsia="de-DE" w:bidi="ar-SA"/>
    </w:rPr>
  </w:style>
  <w:style w:type="paragraph" w:customStyle="1" w:styleId="Verzeichnis5Artikel">
    <w:name w:val="Verzeichnis 5 Artikel"/>
    <w:basedOn w:val="TOC5"/>
  </w:style>
  <w:style w:type="paragraph" w:customStyle="1" w:styleId="Verzeichnis6Artikel">
    <w:name w:val="Verzeichnis 6 Artikel"/>
    <w:basedOn w:val="TOC6"/>
    <w:rPr>
      <w:szCs w:val="18"/>
    </w:rPr>
  </w:style>
  <w:style w:type="paragraph" w:customStyle="1" w:styleId="Verzeichnis7Artikel">
    <w:name w:val="Verzeichnis 7 Artikel"/>
    <w:basedOn w:val="TOC7"/>
    <w:rPr>
      <w:szCs w:val="18"/>
    </w:rPr>
  </w:style>
  <w:style w:type="paragraph" w:customStyle="1" w:styleId="Verzeichnis8Artikel">
    <w:name w:val="Verzeichnis 8 Artikel"/>
    <w:basedOn w:val="TOC8"/>
    <w:rPr>
      <w:szCs w:val="18"/>
    </w:rPr>
  </w:style>
  <w:style w:type="character" w:customStyle="1" w:styleId="ErrorZ">
    <w:name w:val="ErrorZ"/>
    <w:rPr>
      <w:rFonts w:ascii="Arial" w:hAnsi="Arial"/>
      <w:i/>
      <w:color w:val="FF0000"/>
    </w:rPr>
  </w:style>
  <w:style w:type="paragraph" w:customStyle="1" w:styleId="UnterschriftenFI">
    <w:name w:val="UnterschriftenFI"/>
    <w:basedOn w:val="Unterschriften"/>
    <w:pPr>
      <w:tabs>
        <w:tab w:val="left" w:pos="1701"/>
        <w:tab w:val="clear" w:pos="2807"/>
      </w:tabs>
    </w:pPr>
  </w:style>
  <w:style w:type="table" w:styleId="TableGrid">
    <w:name w:val="Table Grid"/>
    <w:basedOn w:val="TableNormal"/>
    <w:pPr>
      <w:spacing w:line="200" w:lineRule="exact"/>
      <w:jc w:val="both"/>
    </w:pPr>
    <w:rPr>
      <w:sz w:val="18"/>
      <w:szCs w:val="18"/>
    </w:rPr>
    <w:tblPr>
      <w:tblCellMar>
        <w:left w:w="0" w:type="dxa"/>
        <w:right w:w="0" w:type="dxa"/>
      </w:tblCellMar>
    </w:tblPr>
    <w:trPr>
      <w:cantSplit/>
    </w:tr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Struktur1083pt">
    <w:name w:val="Tab-Struktur 1 0/8/3pt"/>
    <w:basedOn w:val="Tab-Struktur108pt"/>
    <w:qFormat/>
    <w:pPr>
      <w:spacing w:after="60"/>
    </w:pPr>
  </w:style>
</w:styles>
</file>

<file path=word/webSettings.xml><?xml version="1.0" encoding="utf-8"?>
<w:webSettings xmlns:r="http://schemas.openxmlformats.org/officeDocument/2006/relationships" xmlns:w="http://schemas.openxmlformats.org/wordprocessingml/2006/main">
  <w:encoding w:val="windows-1252"/>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U80798969\AppData\Roaming\Microsoft\Templates\SR-Vorl.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SR-Vorl.dot</Template>
  <TotalTime>0</TotalTime>
  <Pages>4</Pages>
  <Words>945</Words>
  <Characters>6645</Characters>
  <Application>Microsoft Office Word</Application>
  <DocSecurity>0</DocSecurity>
  <Lines>138</Lines>
  <Paragraphs>52</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Titolo</vt:lpstr>
      </vt:variant>
      <vt:variant>
        <vt:i4>1</vt:i4>
      </vt:variant>
    </vt:vector>
  </HeadingPairs>
  <TitlesOfParts>
    <vt:vector size="4" baseType="lpstr">
      <vt:lpstr>0.510.136.1 </vt:lpstr>
      <vt:lpstr>Dokumentvorlage SR für Word XP</vt:lpstr>
      <vt:lpstr>Dokumentvorlage SR für Word XP</vt:lpstr>
      <vt:lpstr>Dokumentvorlage SR für Word XP</vt:lpstr>
    </vt:vector>
  </TitlesOfParts>
  <Manager>Bernhard Moll, lic. jur., Stv. Leiter KAV, Schweizerische Bundeskanzlei (BK)</Manager>
  <Company>Autor Makros und Vorlagen: Stoupa &amp; Partners AG im Auftrag von K A V</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0.510.136.1</dc:title>
  <dc:subject>Vereinbarung</dc:subject>
  <dc:creator>KAV - Kompetenzzentrum Amtliche Veröffentlichungen, BK</dc:creator>
  <cp:keywords>Rechtstext Formatvorlage DfV</cp:keywords>
  <dc:description>Dokumentvorlage AS / SR - Diverse Makros
Stoupa &amp; Partners AG; Bernstr. 24; 3110 Münsingen
031 / 721 95 85                          Fax: 031 /721 95 86
E-Mail: Stoupa@Stoupa.com      Internet: www.stoupa.ch</dc:description>
  <cp:lastModifiedBy>Trösch Bernard BK</cp:lastModifiedBy>
  <cp:revision>2</cp:revision>
  <cp:lastPrinted>2001-02-23T12:20:00Z</cp:lastPrinted>
  <dcterms:created xsi:type="dcterms:W3CDTF">2022-01-11T11:03:00Z</dcterms:created>
  <dcterms:modified xsi:type="dcterms:W3CDTF">2022-01-11T11:03:00Z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undCheck">
    <vt:i4>44568</vt:i4>
  </property>
  <property fmtid="{D5CDD505-2E9C-101B-9397-08002B2CF9AE}" pid="3" name="KavIntern">
    <vt:bool>true</vt:bool>
  </property>
  <property fmtid="{D5CDD505-2E9C-101B-9397-08002B2CF9AE}" pid="4" name="MesserliAktiv">
    <vt:bool>true</vt:bool>
  </property>
  <property fmtid="{D5CDD505-2E9C-101B-9397-08002B2CF9AE}" pid="5" name="MesserliCheck">
    <vt:i4>44568</vt:i4>
  </property>
  <property fmtid="{D5CDD505-2E9C-101B-9397-08002B2CF9AE}" pid="6" name="Originalvorlage">
    <vt:lpwstr>Source ls</vt:lpwstr>
  </property>
  <property fmtid="{D5CDD505-2E9C-101B-9397-08002B2CF9AE}" pid="7" name="Tage06Check">
    <vt:i4>44568</vt:i4>
  </property>
  <property fmtid="{D5CDD505-2E9C-101B-9397-08002B2CF9AE}" pid="8" name="Tage90Check">
    <vt:i4>44568</vt:i4>
  </property>
  <property fmtid="{D5CDD505-2E9C-101B-9397-08002B2CF9AE}" pid="9" name="VersionCheck">
    <vt:i4>39777</vt:i4>
  </property>
  <property fmtid="{D5CDD505-2E9C-101B-9397-08002B2CF9AE}" pid="10" name="WordInitAktiv">
    <vt:bool>false</vt:bool>
  </property>
</Properties>
</file>