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2.0 -->
  <w:body>
    <w:p>
      <w:pPr>
        <w:pStyle w:val="Zyan-Feld"/>
      </w:pPr>
      <w:r>
        <w:rPr>
          <w:vanish w:val="0"/>
          <w:color w:val="000000"/>
        </w:rPr>
        <w:t xml:space="preserve"> </w:t>
      </w:r>
      <w:r>
        <w:rPr>
          <w:vanish w:val="0"/>
          <w:color w:val="000000"/>
        </w:rPr>
        <w:fldChar w:fldCharType="begin"/>
      </w:r>
      <w:r>
        <w:rPr>
          <w:vanish w:val="0"/>
          <w:color w:val="000000"/>
        </w:rPr>
        <w:instrText xml:space="preserve"> SET SR_Nummer "0.632.316.891.1" \* MERGEFORMAT </w:instrText>
      </w:r>
      <w:r>
        <w:rPr>
          <w:vanish w:val="0"/>
          <w:color w:val="000000"/>
        </w:rPr>
        <w:fldChar w:fldCharType="separate"/>
      </w:r>
      <w:bookmarkStart w:id="0" w:name="SR_Nummer"/>
      <w:r>
        <w:rPr>
          <w:noProof/>
          <w:vanish w:val="0"/>
          <w:color w:val="000000"/>
        </w:rPr>
        <w:t>0.632.316.891.1</w:t>
      </w:r>
      <w:bookmarkEnd w:id="0"/>
      <w:r>
        <w:rPr>
          <w:vanish w:val="0"/>
          <w:color w:val="000000"/>
        </w:rPr>
        <w:fldChar w:fldCharType="end"/>
      </w:r>
      <w:r>
        <w:rPr>
          <w:vanish w:val="0"/>
          <w:color w:val="000000"/>
        </w:rPr>
        <w:fldChar w:fldCharType="begin"/>
      </w:r>
      <w:r>
        <w:rPr>
          <w:vanish w:val="0"/>
          <w:color w:val="000000"/>
        </w:rPr>
        <w:instrText xml:space="preserve"> SET Standd " (Stand am 1. September 2021)" </w:instrText>
      </w:r>
      <w:r>
        <w:rPr>
          <w:vanish w:val="0"/>
          <w:color w:val="000000"/>
        </w:rPr>
        <w:fldChar w:fldCharType="separate"/>
      </w:r>
      <w:bookmarkStart w:id="1" w:name="Standd"/>
      <w:r>
        <w:rPr>
          <w:noProof/>
          <w:vanish w:val="0"/>
          <w:color w:val="000000"/>
        </w:rPr>
        <w:t xml:space="preserve"> (Stand am 1. September 2021)</w:t>
      </w:r>
      <w:bookmarkEnd w:id="1"/>
      <w:r>
        <w:rPr>
          <w:vanish w:val="0"/>
          <w:color w:val="000000"/>
        </w:rPr>
        <w:fldChar w:fldCharType="end"/>
      </w:r>
    </w:p>
    <w:p>
      <w:pPr>
        <w:pStyle w:val="Zyan-Feld"/>
      </w:pPr>
      <w:r>
        <w:t>Nicht löschen bitte "</w:t>
      </w:r>
      <w:r>
        <w:footnoteReference w:customMarkFollows="1" w:id="2"/>
        <w:t xml:space="preserve"> " !!
</w:t>
      </w:r>
    </w:p>
    <w:p>
      <w:pPr>
        <w:pStyle w:val="Zyan-Feld"/>
      </w:pPr>
      <w:r>
        <w:t>Generated by SR-Vorl.Dot, Dienstag, 17. Juli 2001, 17:54:17, mlbk / KAV</w:t>
      </w:r>
    </w:p>
    <w:p>
      <w:pPr>
        <w:pStyle w:val="Zyan-Feld"/>
      </w:pPr>
      <w:r>
        <w:t>Generated by SR-Vorl.ASVorlDot, Mittwoch, 13. März 2002, 08:42:12, mlbk / KAV</w:t>
      </w:r>
    </w:p>
    <w:p>
      <w:pPr>
        <w:pStyle w:val="SRNummer"/>
      </w:pPr>
      <w:r>
        <w:fldChar w:fldCharType="begin"/>
      </w:r>
      <w:r>
        <w:instrText xml:space="preserve">REF SR_Nummer \h \* MERGEFORMAT </w:instrText>
      </w:r>
      <w:r>
        <w:fldChar w:fldCharType="separate"/>
      </w:r>
      <w:r>
        <w:t>0.632.316.891.1</w:t>
      </w:r>
      <w:r>
        <w:fldChar w:fldCharType="end"/>
      </w:r>
      <w:r>
        <w:t xml:space="preserve"> </w:t>
      </w:r>
    </w:p>
    <w:p>
      <w:pPr>
        <w:pStyle w:val="Tabkrper09pt-kurs"/>
      </w:pPr>
      <w:r>
        <w:t>Übersetzung</w:t>
      </w:r>
    </w:p>
    <w:p>
      <w:pPr>
        <w:pStyle w:val="Abstand4pt"/>
      </w:pPr>
    </w:p>
    <w:p>
      <w:pPr>
        <w:pStyle w:val="Abstand4pt"/>
      </w:pPr>
    </w:p>
    <w:p>
      <w:pPr>
        <w:pStyle w:val="ErlassTitel"/>
        <w:tabs>
          <w:tab w:val="right" w:pos="6124"/>
        </w:tabs>
      </w:pPr>
      <w:r>
        <w:t xml:space="preserve">Freihandelsabkommen </w:t>
        <w:br/>
        <w:t xml:space="preserve">zwischen den EFTA-Staaten </w:t>
        <w:br/>
        <w:t>und der Republik Singapur</w:t>
      </w:r>
    </w:p>
    <w:p>
      <w:pPr>
        <w:pStyle w:val="Abstand18pt"/>
      </w:pPr>
    </w:p>
    <w:p>
      <w:pPr>
        <w:pStyle w:val="ErlassSubtitel"/>
      </w:pPr>
      <w:r>
        <w:t>Abgeschlossen in Egilsstadir am 26. Juni 2002</w:t>
      </w:r>
    </w:p>
    <w:p>
      <w:pPr>
        <w:pStyle w:val="ErlassSubtitel"/>
      </w:pPr>
      <w:r>
        <w:t>Von der Bundesversammlung genehmigt am 10. Dezember 2002</w:t>
      </w:r>
      <w:r>
        <w:rPr>
          <w:rStyle w:val="FootnoteReference"/>
          <w:noProof w:val="0"/>
          <w:lang w:val="de-CH" w:eastAsia="de-DE"/>
        </w:rPr>
        <w:footnoteReference w:id="3"/>
      </w:r>
    </w:p>
    <w:p>
      <w:pPr>
        <w:pStyle w:val="ErlassSubtitel"/>
      </w:pPr>
      <w:r>
        <w:t>Schweizerische Ratifikationsurkunde hinterlegt am 24. Dezember 2002</w:t>
      </w:r>
    </w:p>
    <w:p>
      <w:pPr>
        <w:pStyle w:val="ErlassSubtitel"/>
      </w:pPr>
      <w:r>
        <w:t>Für die Schweiz in Kraft getreten am 1. Januar 2003</w:t>
      </w:r>
    </w:p>
    <w:p>
      <w:pPr>
        <w:pStyle w:val="ErlassDatum"/>
      </w:pPr>
      <w:r>
        <w:fldChar w:fldCharType="begin"/>
      </w:r>
      <w:r>
        <w:instrText xml:space="preserve"> REF Standd \h  \* MERGEFORMAT </w:instrText>
      </w:r>
      <w:r>
        <w:fldChar w:fldCharType="separate"/>
      </w:r>
      <w:r>
        <w:rPr>
          <w:color w:val="000000"/>
        </w:rPr>
        <w:t xml:space="preserve"> (Stand am 1. September 2021)</w:t>
      </w:r>
      <w:r>
        <w:fldChar w:fldCharType="end"/>
      </w:r>
    </w:p>
    <w:p>
      <w:pPr>
        <w:pStyle w:val="ErlassLinie"/>
      </w:pPr>
    </w:p>
    <w:p>
      <w:pPr>
        <w:pStyle w:val="Autor"/>
      </w:pPr>
      <w:r>
        <w:t>Die Republik Island, das Fürstentum Liechtenstein, das Königreich Norwegen und die Schweizerische Eidgenossenschaft</w:t>
      </w:r>
    </w:p>
    <w:p>
      <w:pPr>
        <w:pStyle w:val="Absatz09pt"/>
      </w:pPr>
      <w:r>
        <w:t>(nachfolgend als «EFTA-Staaten» bezeichnet)</w:t>
      </w:r>
    </w:p>
    <w:p>
      <w:pPr>
        <w:pStyle w:val="Absatz"/>
      </w:pPr>
      <w:r>
        <w:t>und</w:t>
      </w:r>
    </w:p>
    <w:p>
      <w:pPr>
        <w:pStyle w:val="Abstand4pt"/>
      </w:pPr>
    </w:p>
    <w:p>
      <w:pPr>
        <w:pStyle w:val="Autor"/>
      </w:pPr>
      <w:r>
        <w:t>die Republik Singapur</w:t>
      </w:r>
    </w:p>
    <w:p>
      <w:pPr>
        <w:pStyle w:val="Absatz09pt"/>
      </w:pPr>
      <w:r>
        <w:t>(nachfolgend als «Singapur» bezeichnet),</w:t>
      </w:r>
    </w:p>
    <w:p>
      <w:pPr>
        <w:pStyle w:val="Absatz"/>
      </w:pPr>
      <w:r>
        <w:t>nachfolgend als «Vertragsparteien» bezeichnet,</w:t>
      </w:r>
    </w:p>
    <w:p>
      <w:pPr>
        <w:pStyle w:val="Absatz"/>
      </w:pPr>
      <w:r>
        <w:t>eingedenk der zwischen Singapur und den EFTA-Staaten bestehenden wichtigen Bande und des gemeinsamen Willens, diese Bande durch die Schaffung einer Fre</w:t>
      </w:r>
      <w:r>
        <w:t>i</w:t>
      </w:r>
      <w:r>
        <w:t>handelszone zu festigen und damit enge und dauerhafte Beziehungen herzustellen,</w:t>
      </w:r>
    </w:p>
    <w:p>
      <w:pPr>
        <w:pStyle w:val="Absatz"/>
      </w:pPr>
      <w:r>
        <w:t>in Bekräftigung ihres Bekenntnisses zu den Grundsätzen der Charta der Vereinten Nationen</w:t>
      </w:r>
      <w:r>
        <w:rPr>
          <w:rStyle w:val="FootnoteReference"/>
          <w:noProof w:val="0"/>
          <w:lang w:val="de-CH" w:eastAsia="de-DE"/>
        </w:rPr>
        <w:footnoteReference w:id="4"/>
      </w:r>
      <w:r>
        <w:t xml:space="preserve"> und der Allgemeinen Erklärung der Menschenrechte,</w:t>
      </w:r>
    </w:p>
    <w:p>
      <w:pPr>
        <w:pStyle w:val="Absatz"/>
      </w:pPr>
      <w:r>
        <w:t>mit dem Wunsch, durch die Beseitigung von Handelshemmnissen einen Beitrag zur harmonischen Entwicklung und Ausbreitung des Welthandels zu leisten und eine engere internationale Zusammenarbeit zu fördern, insbesondere zwischen Europa und Asien,</w:t>
      </w:r>
    </w:p>
    <w:p>
      <w:pPr>
        <w:pStyle w:val="Absatz"/>
      </w:pPr>
      <w:r>
        <w:t>entschlossen, auf ihren Gebieten einen erweiterten und sicheren Markt für Güter und Dienstleistungen zu errichten;</w:t>
      </w:r>
    </w:p>
    <w:p>
      <w:pPr>
        <w:pStyle w:val="Absatz"/>
      </w:pPr>
      <w:r>
        <w:t>entschlossen, ein stabiles und berechenbares Umfeld für Investitionen zu errichten,</w:t>
      </w:r>
    </w:p>
    <w:p>
      <w:pPr>
        <w:pStyle w:val="Absatz"/>
      </w:pPr>
      <w:r>
        <w:t>in der Absicht, die Wettbewerbsfähigkeit ihrer Firmen auf den Weltmärkten zu verbessern,</w:t>
      </w:r>
    </w:p>
    <w:p>
      <w:pPr>
        <w:pStyle w:val="Absatz"/>
      </w:pPr>
      <w:r>
        <w:t>mit dem Ziel, in ihren jeweiligen Hoheitsgebieten neue Arbeitsplätze und bessere Lebensbedingungen zu schaffen und durch die Ausweitung des Handels und der I</w:t>
      </w:r>
      <w:r>
        <w:t>n</w:t>
      </w:r>
      <w:r>
        <w:t>vestitionen ein hohes und stetig wachsendes Realeinkommen auf ihrem jeweiligen Territorium zu gewährleisten,</w:t>
      </w:r>
    </w:p>
    <w:p>
      <w:pPr>
        <w:pStyle w:val="Absatz"/>
      </w:pPr>
      <w:r>
        <w:t>anerkennend, dass die Errungenschaften der Handelsliberalisierung nicht durch private, wettbewerbswidrige Praktiken beeinträchtigt werden dürfen,</w:t>
      </w:r>
    </w:p>
    <w:p>
      <w:pPr>
        <w:pStyle w:val="Absatz"/>
      </w:pPr>
      <w:r>
        <w:t>in der Überzeugung, dass dieses Abkommen die Voraussetzungen schaffen wird, um die gegenseitigen Beziehungen in den Bereichen Wirtschaft, Handel und Investiti</w:t>
      </w:r>
      <w:r>
        <w:t>o</w:t>
      </w:r>
      <w:r>
        <w:t>nen auszubauen,</w:t>
      </w:r>
    </w:p>
    <w:p>
      <w:pPr>
        <w:pStyle w:val="Absatz"/>
      </w:pPr>
      <w:r>
        <w:t>aufbauend auf ihren Rechten und Pflichten, welche sich aus dem Abkommen von Marrakesch zur Errichtung der Welthandelsorganisation</w:t>
      </w:r>
      <w:r>
        <w:rPr>
          <w:rStyle w:val="FootnoteReference"/>
          <w:noProof w:val="0"/>
          <w:lang w:val="de-CH" w:eastAsia="de-DE"/>
        </w:rPr>
        <w:footnoteReference w:id="5"/>
      </w:r>
      <w:r>
        <w:t xml:space="preserve"> und der anderen darunter ausgehandelten Abkommen sowie anderer multilateraler und bilateraler Koopera</w:t>
      </w:r>
      <w:r>
        <w:softHyphen/>
        <w:t>tionsinstrumente ergeben,</w:t>
      </w:r>
    </w:p>
    <w:p>
      <w:pPr>
        <w:pStyle w:val="Absatz"/>
      </w:pPr>
      <w:r>
        <w:t>anerkennend, dass die Handelsliberalisierung die optimale Nutzung der Welt</w:t>
      </w:r>
      <w:r>
        <w:softHyphen/>
        <w:t>ressourcen in Übereinstimmung mit dem Ziel der nachhaltigen Entwicklung ermö</w:t>
      </w:r>
      <w:r>
        <w:t>g</w:t>
      </w:r>
      <w:r>
        <w:t>lichen soll, im Bestreben, die Umwelt zu erhalten und zu schützen,</w:t>
      </w:r>
    </w:p>
    <w:p>
      <w:pPr>
        <w:pStyle w:val="Verb"/>
      </w:pPr>
      <w:r>
        <w:t xml:space="preserve">haben zur Erreichung oben genannter Ziele folgendes Abkommen: </w:t>
      </w:r>
      <w:r>
        <w:rPr>
          <w:i w:val="0"/>
          <w:iCs/>
        </w:rPr>
        <w:t>(nachfolgend als «dieses Abkommen» bezeichnet)</w:t>
      </w:r>
      <w:r>
        <w:t xml:space="preserve"> abgeschlossen:</w:t>
      </w:r>
    </w:p>
    <w:p>
      <w:pPr>
        <w:pStyle w:val="Heading1"/>
      </w:pPr>
      <w:r>
        <w:t>I</w:t>
        <w:tab/>
        <w:t>Allgemeine Bestimmungen</w:t>
      </w:r>
    </w:p>
    <w:p>
      <w:pPr>
        <w:pStyle w:val="Heading9"/>
      </w:pPr>
      <w:r>
        <w:rPr>
          <w:b/>
          <w:bCs/>
        </w:rPr>
        <w:t>Art. 1</w:t>
      </w:r>
      <w:r>
        <w:tab/>
        <w:t>Zielsetzung</w:t>
      </w:r>
    </w:p>
    <w:p>
      <w:pPr>
        <w:pStyle w:val="Absatz"/>
      </w:pPr>
      <w:r>
        <w:t>1.  Die EFTA-Staaten und Singapur errichten hiermit eine Freihandelszone im Ei</w:t>
      </w:r>
      <w:r>
        <w:t>n</w:t>
      </w:r>
      <w:r>
        <w:t>klang mit den Bestimmungen dieses Abkommens.</w:t>
      </w:r>
    </w:p>
    <w:p>
      <w:pPr>
        <w:pStyle w:val="Absatz"/>
      </w:pPr>
      <w:r>
        <w:t xml:space="preserve">2.  Ziele dieses auf Handelsbeziehungen zwischen </w:t>
      </w:r>
      <w:r>
        <w:rPr>
          <w:rFonts w:eastAsia="MS Mincho"/>
        </w:rPr>
        <w:t>Marktwirtschaften</w:t>
      </w:r>
      <w:r>
        <w:t xml:space="preserve"> basierenden Abkommens sind:</w:t>
      </w:r>
    </w:p>
    <w:p>
      <w:pPr>
        <w:pStyle w:val="Struktur1"/>
      </w:pPr>
      <w:r>
        <w:t>(a)</w:t>
        <w:tab/>
        <w:t>die schrittweise und gegenseitige Liberalisierung des Warenhandels in Über</w:t>
      </w:r>
      <w:r>
        <w:softHyphen/>
        <w:t>einstimmung mit Artikel XXIV des Allgemeinen Zoll- und Handelsabko</w:t>
      </w:r>
      <w:r>
        <w:t>m</w:t>
      </w:r>
      <w:r>
        <w:t>mens</w:t>
      </w:r>
      <w:r>
        <w:rPr>
          <w:rStyle w:val="FootnoteReference"/>
          <w:noProof w:val="0"/>
          <w:lang w:val="de-CH" w:eastAsia="de-DE"/>
        </w:rPr>
        <w:footnoteReference w:id="6"/>
      </w:r>
      <w:r>
        <w:t xml:space="preserve"> (General Agreement on Tariffs and Trade, nachstehend als «GATT 1994» bezeichnet);</w:t>
      </w:r>
    </w:p>
    <w:p>
      <w:pPr>
        <w:pStyle w:val="Struktur1"/>
      </w:pPr>
      <w:r>
        <w:t>(b)</w:t>
        <w:tab/>
        <w:t>die Förderung des Wettbewerbs in ihren Märkten, insbesondere im Zusa</w:t>
      </w:r>
      <w:r>
        <w:t>m</w:t>
      </w:r>
      <w:r>
        <w:t>menhang mit den Wirtschaftsbeziehungen zwischen den Vertragsparteien;</w:t>
      </w:r>
    </w:p>
    <w:p>
      <w:pPr>
        <w:pStyle w:val="Struktur1"/>
      </w:pPr>
      <w:r>
        <w:t>(c)</w:t>
        <w:tab/>
        <w:t>die Erreichung zusätzlicher, auf Gegenseitigkeit beruhender Liberalisierung der Märkte der Vertragsparteien für öffentliche Beschaffungen;</w:t>
      </w:r>
    </w:p>
    <w:p>
      <w:pPr>
        <w:pStyle w:val="Struktur1"/>
      </w:pPr>
      <w:r>
        <w:t>(d)</w:t>
        <w:tab/>
        <w:t>die Liberalisierung des Handels mit Dienstleistungen in Übereinstimmung mit Artikel V des Allgemeinen Abkommens über den Handel mit Dienstleis</w:t>
      </w:r>
      <w:r>
        <w:softHyphen/>
        <w:t>tungen</w:t>
      </w:r>
      <w:r>
        <w:rPr>
          <w:rStyle w:val="FootnoteReference"/>
          <w:noProof w:val="0"/>
          <w:lang w:val="de-CH" w:eastAsia="de-DE"/>
        </w:rPr>
        <w:footnoteReference w:id="7"/>
      </w:r>
      <w:r>
        <w:t xml:space="preserve"> (General Agreement on Trade in Services, nachstehend als «GATS» bezeichnet);</w:t>
      </w:r>
    </w:p>
    <w:p>
      <w:pPr>
        <w:pStyle w:val="Struktur1"/>
      </w:pPr>
      <w:r>
        <w:t>(e)</w:t>
        <w:tab/>
        <w:t>die gegenseitige Förderung von Investitionsmöglichkeiten und die Gewä</w:t>
      </w:r>
      <w:r>
        <w:t>h</w:t>
      </w:r>
      <w:r>
        <w:t>rung eines beständigen Schutzes für Investoren und Investitionen;</w:t>
      </w:r>
    </w:p>
    <w:p>
      <w:pPr>
        <w:pStyle w:val="Struktur1"/>
      </w:pPr>
      <w:r>
        <w:t>(f)</w:t>
        <w:tab/>
        <w:t>die Sicherstellung eines angemessenen und wirksamen Schutzes des geist</w:t>
      </w:r>
      <w:r>
        <w:t>i</w:t>
      </w:r>
      <w:r>
        <w:t>gen Eigentums gemäss internationalen Standards; und</w:t>
      </w:r>
    </w:p>
    <w:p>
      <w:pPr>
        <w:pStyle w:val="Struktur1"/>
      </w:pPr>
      <w:r>
        <w:t>(g)</w:t>
        <w:tab/>
        <w:t>auf diese Weise, durch den Abbau von Handels- und Investitionshemmni</w:t>
      </w:r>
      <w:r>
        <w:t>s</w:t>
      </w:r>
      <w:r>
        <w:t>sen, einen Beitrag zur harmonischen Entwicklung und Ausweitung des Welthandels zu leisten.</w:t>
      </w:r>
    </w:p>
    <w:p>
      <w:pPr>
        <w:pStyle w:val="Heading9"/>
      </w:pPr>
      <w:r>
        <w:rPr>
          <w:b/>
          <w:bCs/>
        </w:rPr>
        <w:t>Art. 2</w:t>
      </w:r>
      <w:r>
        <w:tab/>
        <w:t>Räumlicher Anwendungsbereich</w:t>
      </w:r>
    </w:p>
    <w:p>
      <w:pPr>
        <w:pStyle w:val="Absatz"/>
      </w:pPr>
      <w:r>
        <w:t>1.  Unbeschadet von Anhang I ist dieses Abkommen anwendbar:</w:t>
      </w:r>
    </w:p>
    <w:p>
      <w:pPr>
        <w:pStyle w:val="Struktur1"/>
      </w:pPr>
      <w:r>
        <w:t>(a)</w:t>
        <w:tab/>
        <w:t>auf die Landgebiete, die Binnengewässer und die Hoheitsgewässer einer Vertragspartei sowie auf den Luftraum über dem Hoheitsgebiet in Überei</w:t>
      </w:r>
      <w:r>
        <w:t>n</w:t>
      </w:r>
      <w:r>
        <w:t>stimmung mit dem Völkerrecht; sowie</w:t>
      </w:r>
    </w:p>
    <w:p>
      <w:pPr>
        <w:pStyle w:val="Struktur1"/>
      </w:pPr>
      <w:r>
        <w:t>(b)</w:t>
        <w:tab/>
        <w:t>ausserhalb der Hoheitsgewässer in Bezug auf Massnahmen, die von einer Vertragspartei in Ausübung ihrer Souveränitätsrechte oder Gerichtsbarkeit gemäss Völkerrecht getroffen werden.</w:t>
      </w:r>
    </w:p>
    <w:p>
      <w:pPr>
        <w:pStyle w:val="Absatz"/>
      </w:pPr>
      <w:r>
        <w:t>2.  Anhang II ist in Bezug auf Norwegen anwendbar.</w:t>
      </w:r>
    </w:p>
    <w:p>
      <w:pPr>
        <w:pStyle w:val="Heading9"/>
      </w:pPr>
      <w:r>
        <w:rPr>
          <w:b/>
          <w:bCs/>
        </w:rPr>
        <w:t>Art. 3</w:t>
      </w:r>
      <w:r>
        <w:tab/>
        <w:t>Umfang der unterstellten Handels- und Wirtschaftsbeziehungen</w:t>
      </w:r>
    </w:p>
    <w:p>
      <w:pPr>
        <w:pStyle w:val="Absatz"/>
      </w:pPr>
      <w:r>
        <w:t>1.  Die Bestimmungen dieses Abkommens finden Anwendung auf die Wirtschafts- und Handelsbeziehungen zwischen den einzelnen EFTA-Staaten einerseits und Si</w:t>
      </w:r>
      <w:r>
        <w:t>n</w:t>
      </w:r>
      <w:r>
        <w:t>gapur andererseits, nicht aber auf Handelsbeziehungen zwischen den einzelnen EFTA-Staaten, soweit dieses Abkommen keine anders lautenden Bestimmungen enthält.</w:t>
      </w:r>
    </w:p>
    <w:p>
      <w:pPr>
        <w:pStyle w:val="Absatz"/>
      </w:pPr>
      <w:r>
        <w:t>2.  Kraft des Vertrags vom 29. März 1923</w:t>
      </w:r>
      <w:r>
        <w:rPr>
          <w:rStyle w:val="FootnoteReference"/>
          <w:noProof w:val="0"/>
          <w:lang w:val="de-CH" w:eastAsia="de-DE"/>
        </w:rPr>
        <w:footnoteReference w:id="8"/>
      </w:r>
      <w:r>
        <w:t xml:space="preserve"> zwischen der Schweiz und Liechtenstein über die Zollunion vertritt die Schweiz das Fürstentum Liechtenstein in den darunter fallenden Angelegenheiten.</w:t>
      </w:r>
    </w:p>
    <w:p>
      <w:pPr>
        <w:pStyle w:val="Heading9"/>
      </w:pPr>
      <w:r>
        <w:rPr>
          <w:b/>
          <w:bCs/>
        </w:rPr>
        <w:t>Art</w:t>
      </w:r>
      <w:r>
        <w:rPr>
          <w:b/>
        </w:rPr>
        <w:t>.</w:t>
      </w:r>
      <w:r>
        <w:t> </w:t>
      </w:r>
      <w:r>
        <w:rPr>
          <w:b/>
          <w:bCs/>
        </w:rPr>
        <w:t>4</w:t>
      </w:r>
      <w:r>
        <w:tab/>
        <w:t>Verhältnis zu anderen Abkommen</w:t>
      </w:r>
    </w:p>
    <w:p>
      <w:pPr>
        <w:pStyle w:val="Absatz"/>
      </w:pPr>
      <w:r>
        <w:t>Die Bestimmungen dieses Abkommens stehen den Rechten und Pflichten der Ve</w:t>
      </w:r>
      <w:r>
        <w:t>r</w:t>
      </w:r>
      <w:r>
        <w:t>tragsparteien aus dem in Marrakesch abgeschlossenen Abkommen zur Errichtung der Welthandelsorganisation (Marrakesh Agreement Establishing the World Trade Organization) sowie den anderen darunter fallenden Abkommen (im Folgenden «das WTO-Abkommen» genannt), die sie mit unterzeichnet haben, oder aus irgendeinem anderen internationalen Übereinkommen, das sie abgeschlossen haben, nicht entg</w:t>
      </w:r>
      <w:r>
        <w:t>e</w:t>
      </w:r>
      <w:r>
        <w:t>gen.</w:t>
      </w:r>
    </w:p>
    <w:p>
      <w:pPr>
        <w:pStyle w:val="Heading9"/>
      </w:pPr>
      <w:r>
        <w:rPr>
          <w:b/>
          <w:bCs/>
        </w:rPr>
        <w:t>Art. 5</w:t>
      </w:r>
      <w:r>
        <w:tab/>
        <w:t>Regionale und lokale Regierungen</w:t>
      </w:r>
    </w:p>
    <w:p>
      <w:pPr>
        <w:pStyle w:val="Absatz"/>
      </w:pPr>
      <w:r>
        <w:t>Jede Vertragspartei trägt die volle Verantwortung für die Einhaltung sämtlicher Pflichten und Verpflichtungen, die sich aus diesem Abkommen ergeben, und sorgt in ihrem Hoheitsgebiet für deren Einhaltung durch die regionalen und lokalen Regi</w:t>
      </w:r>
      <w:r>
        <w:t>e</w:t>
      </w:r>
      <w:r>
        <w:t>rungen und Behörden sowie durch nichtstaatliche Stellen, die in Ausübung der ihnen von zentralen, regionalen oder lokalen Regierungen oder Behörden übertrag</w:t>
      </w:r>
      <w:r>
        <w:t>e</w:t>
      </w:r>
      <w:r>
        <w:t>nen Befugnisse handeln.</w:t>
      </w:r>
    </w:p>
    <w:p>
      <w:pPr>
        <w:pStyle w:val="Abstand18pt"/>
      </w:pPr>
    </w:p>
    <w:p>
      <w:pPr>
        <w:pStyle w:val="Heading1"/>
      </w:pPr>
      <w:r>
        <w:t>II</w:t>
        <w:tab/>
        <w:t>Warenverkehr</w:t>
      </w:r>
    </w:p>
    <w:p>
      <w:pPr>
        <w:pStyle w:val="Heading9"/>
      </w:pPr>
      <w:r>
        <w:rPr>
          <w:b/>
          <w:bCs/>
        </w:rPr>
        <w:t>Art. 6</w:t>
      </w:r>
      <w:r>
        <w:tab/>
        <w:t>Geltungsbereich</w:t>
      </w:r>
    </w:p>
    <w:p>
      <w:pPr>
        <w:pStyle w:val="Absatz"/>
      </w:pPr>
      <w:r>
        <w:t>1.  Dieses Kapitel gilt für:</w:t>
      </w:r>
    </w:p>
    <w:p>
      <w:pPr>
        <w:pStyle w:val="Struktur1"/>
      </w:pPr>
      <w:r>
        <w:t>(a)</w:t>
        <w:tab/>
        <w:t>Erzeugnisse, die unter die Kapitel 25 bis 97 des Harmonisierten Systems zur Bezeichnung und Kodierung der Waren</w:t>
      </w:r>
      <w:r>
        <w:rPr>
          <w:rStyle w:val="FootnoteReference"/>
          <w:noProof w:val="0"/>
          <w:lang w:val="de-CH" w:eastAsia="de-DE"/>
        </w:rPr>
        <w:footnoteReference w:id="9"/>
      </w:r>
      <w:r>
        <w:t xml:space="preserve"> (HS) fallen;</w:t>
      </w:r>
    </w:p>
    <w:p>
      <w:pPr>
        <w:pStyle w:val="Struktur1"/>
      </w:pPr>
      <w:r>
        <w:t>(b)</w:t>
        <w:tab/>
        <w:t>die in Anhang III aufgeführten Waren, unter Beachtung der im betreffenden Anhang vorgesehenen Bestimmungen;</w:t>
      </w:r>
    </w:p>
    <w:p>
      <w:pPr>
        <w:pStyle w:val="Struktur1"/>
      </w:pPr>
      <w:r>
        <w:t>(c)</w:t>
        <w:tab/>
        <w:t>Fische und andere Meeresprodukte nach Anhang IV.</w:t>
      </w:r>
    </w:p>
    <w:p>
      <w:pPr>
        <w:pStyle w:val="Absatz"/>
      </w:pPr>
      <w:r>
        <w:t>2.  Singapur hat mit jedem einzelnen EFTA-Staat ein bilaterales Abkommen über den Handel mit landwirtschaftlichen Erzeugnissen abgeschlossen. Diese Abkommen sind Bestandteil der Instrumente zur Errichtung einer Freihandelszone zwischen den EFTA-Staaten und Singapur.</w:t>
      </w:r>
    </w:p>
    <w:p>
      <w:pPr>
        <w:pStyle w:val="Heading9"/>
      </w:pPr>
      <w:bookmarkStart w:id="3" w:name="_Toc495980580"/>
      <w:bookmarkStart w:id="4" w:name="_Toc495986444"/>
      <w:r>
        <w:rPr>
          <w:b/>
          <w:bCs/>
        </w:rPr>
        <w:t>Art. 7</w:t>
      </w:r>
      <w:r>
        <w:tab/>
        <w:t>Ursprungsregeln und Zusammenarbeit der Verwaltungen</w:t>
      </w:r>
    </w:p>
    <w:p>
      <w:pPr>
        <w:pStyle w:val="Absatz"/>
        <w:keepNext/>
        <w:keepLines/>
      </w:pPr>
      <w:bookmarkEnd w:id="3"/>
      <w:bookmarkEnd w:id="4"/>
      <w:r>
        <w:t>1.  Die auf die Artikel 8, 16 und 17 anwendbaren Bestimmungen über die U</w:t>
      </w:r>
      <w:r>
        <w:t>r</w:t>
      </w:r>
      <w:r>
        <w:t>sprungs</w:t>
      </w:r>
      <w:r>
        <w:softHyphen/>
        <w:t>regeln und die Zusammenarbeit der Verwaltungen sind in Anhang I aufg</w:t>
      </w:r>
      <w:r>
        <w:t>e</w:t>
      </w:r>
      <w:r>
        <w:t>führt.</w:t>
      </w:r>
    </w:p>
    <w:p>
      <w:pPr>
        <w:pStyle w:val="Absatz"/>
      </w:pPr>
      <w:r>
        <w:t>2.  Für die nicht unter Absatz 1 aufgeführten übrigen Artikel dieses Kapitels gelten die nichtpräferenziellen Ursprungsregeln einer Vertragspartei. Die in Anhang I dargelegten Regelungen für die Zusammenarbeit der Verwaltungen und die Amtshi</w:t>
      </w:r>
      <w:r>
        <w:t>l</w:t>
      </w:r>
      <w:r>
        <w:t>fe sind sinngemäss anwendbar.</w:t>
      </w:r>
    </w:p>
    <w:p>
      <w:pPr>
        <w:pStyle w:val="Absatz"/>
      </w:pPr>
      <w:r>
        <w:t>3.  Zwei Jahre nach dem Inkrafttreten dieses Abkommens treffen sich die Vertrag</w:t>
      </w:r>
      <w:r>
        <w:t>s</w:t>
      </w:r>
      <w:r>
        <w:t>parteien, um Anhang I zu überarbeiten und das System des Veredlungsverkehrs (</w:t>
      </w:r>
      <w:r>
        <w:rPr>
          <w:color w:val="000000"/>
        </w:rPr>
        <w:t xml:space="preserve">Outward Processing Regime) </w:t>
      </w:r>
      <w:r>
        <w:t>an ihre sich ändernden wirtschaftlichen Bedürfnisse anzupassen. Diese Überprüfung soll, sofern die Vertragsparteien nichts anderes ve</w:t>
      </w:r>
      <w:r>
        <w:t>r</w:t>
      </w:r>
      <w:r>
        <w:t>einbaren, alle zwei Jahre stattfinden.</w:t>
      </w:r>
    </w:p>
    <w:p>
      <w:pPr>
        <w:pStyle w:val="Heading9"/>
      </w:pPr>
      <w:bookmarkStart w:id="5" w:name="_Toc495831159"/>
      <w:bookmarkStart w:id="6" w:name="_Toc495980585"/>
      <w:bookmarkStart w:id="7" w:name="_Toc495986449"/>
      <w:r>
        <w:rPr>
          <w:b/>
          <w:bCs/>
        </w:rPr>
        <w:t>Art. 8</w:t>
      </w:r>
      <w:r>
        <w:tab/>
      </w:r>
      <w:bookmarkEnd w:id="5"/>
      <w:bookmarkEnd w:id="6"/>
      <w:bookmarkEnd w:id="7"/>
      <w:r>
        <w:t>Zölle</w:t>
      </w:r>
    </w:p>
    <w:p>
      <w:pPr>
        <w:pStyle w:val="Absatz"/>
      </w:pPr>
      <w:r>
        <w:t>1.  Mit Inkrafttreten dieses Abkommens beseitigen die Vertragsparteien alle Ei</w:t>
      </w:r>
      <w:r>
        <w:t>n</w:t>
      </w:r>
      <w:r>
        <w:t>fuhrzölle für Erzeugnisse mit Ursprung in einem EFTA-Staat oder in Singapur, au</w:t>
      </w:r>
      <w:r>
        <w:t>s</w:t>
      </w:r>
      <w:r>
        <w:t>genommen jene, die in Anhang V aufgeführt sind. Es werden keine neuen Zölle ei</w:t>
      </w:r>
      <w:r>
        <w:t>n</w:t>
      </w:r>
      <w:r>
        <w:t>geführt.</w:t>
      </w:r>
    </w:p>
    <w:p>
      <w:pPr>
        <w:pStyle w:val="Absatz"/>
      </w:pPr>
      <w:r>
        <w:t>2.  Als Zoll gilt jede Art von Zollbelastung oder Abgabe, die im Zusammenhang mit der Ein- oder Ausfuhr von Waren erhoben wird, einschliesslich jeglicher Art von Zuschlagsbesteuerung oder Zusatzabgabe in Verbindung mit der Ein- oder Ausfuhr.</w:t>
      </w:r>
    </w:p>
    <w:p>
      <w:pPr>
        <w:pStyle w:val="Absatz"/>
      </w:pPr>
      <w:r>
        <w:t>3.  Dieses Kapitel hindert eine Vertragspartei nicht daran, jederzeit die Ein- oder Ausfuhr einer beliebigen Ware einer anderen Vertragspartei zu besteuern, und zwar in Form von:</w:t>
      </w:r>
    </w:p>
    <w:p>
      <w:pPr>
        <w:pStyle w:val="Struktur1"/>
      </w:pPr>
      <w:r>
        <w:t>(a)</w:t>
        <w:tab/>
        <w:t>Verbrauchssteuern und anderen Abgaben in Höhe der einer internen Steuer entsprechenden Belastung, die in Übereinstimmung mit Artikel 11 bei der Ein- oder Ausfuhr erhoben werden; oder</w:t>
      </w:r>
    </w:p>
    <w:p>
      <w:pPr>
        <w:pStyle w:val="Struktur1"/>
      </w:pPr>
      <w:r>
        <w:t>(b)</w:t>
        <w:tab/>
        <w:t>Gebühren oder andere Abgaben, die nicht auf einer Wertbasis angewendet werden, sofern deren Höhe auf die ungefähren Kosten der erbrachten Diens</w:t>
      </w:r>
      <w:r>
        <w:t>t</w:t>
      </w:r>
      <w:r>
        <w:t>leistungen begrenzt ist und diese Abgaben keinen indirekten Zollschutz für inländische Waren beziehungsweise keine Besteuerung der Ein- oder Au</w:t>
      </w:r>
      <w:r>
        <w:t>s</w:t>
      </w:r>
      <w:r>
        <w:t>fuhren zu Fiskalzwecken darstellen.</w:t>
      </w:r>
    </w:p>
    <w:p>
      <w:pPr>
        <w:pStyle w:val="Heading9"/>
      </w:pPr>
      <w:r>
        <w:rPr>
          <w:b/>
          <w:bCs/>
        </w:rPr>
        <w:t>Art. 9</w:t>
      </w:r>
      <w:r>
        <w:tab/>
        <w:t>Ein- und Ausfuhrbeschränkungen</w:t>
      </w:r>
    </w:p>
    <w:p>
      <w:pPr>
        <w:pStyle w:val="Absatz"/>
        <w:rPr>
          <w:b/>
          <w:bCs/>
        </w:rPr>
      </w:pPr>
      <w:r>
        <w:t>Mit Ausnahme von Zöllen und Abgaben werden mit Inkrafttreten dieses Abko</w:t>
      </w:r>
      <w:r>
        <w:t>m</w:t>
      </w:r>
      <w:r>
        <w:t>mens sämtliche Ein- oder Ausfuhrverbote oder -beschränkungen im Handel zw</w:t>
      </w:r>
      <w:r>
        <w:t>i</w:t>
      </w:r>
      <w:r>
        <w:t>schen den EFTA-Staaten und Singapur in Form von Kontingenten, Einfuhr- oder Ausfuhrlizenzen oder durch andere Massnahmen aufgehoben.</w:t>
      </w:r>
    </w:p>
    <w:p>
      <w:pPr>
        <w:pStyle w:val="Heading9"/>
      </w:pPr>
      <w:bookmarkStart w:id="8" w:name="_Toc495980588"/>
      <w:bookmarkStart w:id="9" w:name="_Toc495986452"/>
      <w:r>
        <w:rPr>
          <w:b/>
          <w:bCs/>
        </w:rPr>
        <w:t>Art. 10</w:t>
      </w:r>
      <w:r>
        <w:tab/>
        <w:t>Meistbegünstigung</w:t>
      </w:r>
    </w:p>
    <w:p>
      <w:pPr>
        <w:pStyle w:val="Absatz"/>
      </w:pPr>
      <w:r>
        <w:t>Eine Vertragspartei, die mit einer Nichtvertragspartei ein Abkommen nach Art</w:t>
      </w:r>
      <w:r>
        <w:t>i</w:t>
      </w:r>
      <w:r>
        <w:t>kel XXIV GATT 1994 eingeht, gibt den anderen Vertragsparteien auf deren Wunsch angemessene Gelegenheit, über die darin gewährten Vorteile zu verhandeln.</w:t>
      </w:r>
    </w:p>
    <w:p>
      <w:pPr>
        <w:pStyle w:val="Heading9"/>
      </w:pPr>
      <w:r>
        <w:rPr>
          <w:b/>
          <w:bCs/>
        </w:rPr>
        <w:t>Art. 11</w:t>
      </w:r>
      <w:r>
        <w:tab/>
        <w:t>Inländerbehandlung</w:t>
      </w:r>
    </w:p>
    <w:p>
      <w:pPr>
        <w:pStyle w:val="Absatz"/>
      </w:pPr>
      <w:r>
        <w:t>Die Vertragsparteien gewähren einander die Inländerbehandlung nach Artikel III GATT 1994</w:t>
      </w:r>
      <w:r>
        <w:rPr>
          <w:rFonts w:ascii="Times" w:hAnsi="Times" w:cs="Times"/>
        </w:rPr>
        <w:t>, einschliesslich der Erläuterungen zur Auslegung dieses Artikels, we</w:t>
      </w:r>
      <w:r>
        <w:rPr>
          <w:rFonts w:ascii="Times" w:hAnsi="Times" w:cs="Times"/>
        </w:rPr>
        <w:t>l</w:t>
      </w:r>
      <w:r>
        <w:rPr>
          <w:rFonts w:ascii="Times" w:hAnsi="Times" w:cs="Times"/>
        </w:rPr>
        <w:t>cher hiermit zum Bestandteil dieses Abkommens erklärt wird.</w:t>
      </w:r>
    </w:p>
    <w:p>
      <w:pPr>
        <w:pStyle w:val="Heading9"/>
      </w:pPr>
      <w:r>
        <w:rPr>
          <w:b/>
          <w:bCs/>
        </w:rPr>
        <w:t>Art. 12</w:t>
      </w:r>
      <w:r>
        <w:tab/>
      </w:r>
      <w:bookmarkStart w:id="10" w:name="_Toc495831162"/>
      <w:bookmarkStart w:id="11" w:name="_Toc495980591"/>
      <w:bookmarkStart w:id="12" w:name="_Toc495986455"/>
      <w:r>
        <w:t>Gesundheitspolizeiliche und pflanzenschutzrechtliche Massnahmen</w:t>
      </w:r>
      <w:bookmarkEnd w:id="10"/>
      <w:bookmarkEnd w:id="11"/>
      <w:bookmarkEnd w:id="12"/>
    </w:p>
    <w:p>
      <w:pPr>
        <w:pStyle w:val="Absatz"/>
      </w:pPr>
      <w:r>
        <w:t>1.  Die Vertragsparteien stellen sicher, dass ihre gesundheitspolizeilichen und pfla</w:t>
      </w:r>
      <w:r>
        <w:t>n</w:t>
      </w:r>
      <w:r>
        <w:t>zenschutzrechtlichen Massnahmen keine Diskriminierung bewirken; sie führen ke</w:t>
      </w:r>
      <w:r>
        <w:t>i</w:t>
      </w:r>
      <w:r>
        <w:t>ne neue Massnahmen ein, die zu einer ungerechtfertigten Beschränkung des intern</w:t>
      </w:r>
      <w:r>
        <w:t>a</w:t>
      </w:r>
      <w:r>
        <w:t>tionalen Handels führen.</w:t>
      </w:r>
    </w:p>
    <w:p>
      <w:pPr>
        <w:pStyle w:val="Absatz"/>
        <w:rPr>
          <w:snapToGrid w:val="0"/>
        </w:rPr>
      </w:pPr>
      <w:r>
        <w:t>2.  Die Anwendung der in Absatz 1 genannten Grundsätze erfolgt nach dem WTO-Übereinkommen über die Anwendung gesundheitspolizeilicher und pflanzenschut</w:t>
      </w:r>
      <w:r>
        <w:t>z</w:t>
      </w:r>
      <w:r>
        <w:t>rechtlicher Massnahmen</w:t>
      </w:r>
      <w:r>
        <w:rPr>
          <w:rStyle w:val="FootnoteReference"/>
          <w:noProof w:val="0"/>
          <w:lang w:val="de-CH" w:eastAsia="de-DE"/>
        </w:rPr>
        <w:footnoteReference w:id="10"/>
      </w:r>
      <w:r>
        <w:t>, welches hiermit zum Bestandteil dieses Abkommens e</w:t>
      </w:r>
      <w:r>
        <w:t>r</w:t>
      </w:r>
      <w:r>
        <w:t>klärt wird.</w:t>
      </w:r>
    </w:p>
    <w:p>
      <w:pPr>
        <w:pStyle w:val="Heading9"/>
      </w:pPr>
      <w:r>
        <w:rPr>
          <w:b/>
          <w:bCs/>
        </w:rPr>
        <w:t>Art. 13</w:t>
      </w:r>
      <w:r>
        <w:tab/>
        <w:t>Technische Vorschriften</w:t>
      </w:r>
    </w:p>
    <w:p>
      <w:pPr>
        <w:pStyle w:val="Absatz"/>
      </w:pPr>
      <w:r>
        <w:t>1.  Die Rechte und Pflichten der Vertragsparteien im Bereich der technischen Vo</w:t>
      </w:r>
      <w:r>
        <w:t>r</w:t>
      </w:r>
      <w:r>
        <w:t>schriften, der Normen und der Konformitätsbewertung richten sich nach dem WTO-Übereinkommen über die technischen Handelshemmnisse</w:t>
      </w:r>
      <w:r>
        <w:rPr>
          <w:rStyle w:val="FootnoteReference"/>
          <w:noProof w:val="0"/>
          <w:lang w:val="de-CH" w:eastAsia="de-DE"/>
        </w:rPr>
        <w:footnoteReference w:id="11"/>
      </w:r>
      <w:r>
        <w:t>.</w:t>
      </w:r>
    </w:p>
    <w:p>
      <w:pPr>
        <w:pStyle w:val="Absatz"/>
      </w:pPr>
      <w:r>
        <w:t>2.  Die Vertragsparteien verstärken ihre Zusammenarbeit im Bereich der technischen Vorschriften, der Normen und der Konformitätsbewertung, um das gegenseitige Verständnis ihrer jeweiligen Systeme zu fördern und den Zugang zu ihren jeweil</w:t>
      </w:r>
      <w:r>
        <w:t>i</w:t>
      </w:r>
      <w:r>
        <w:t>gen Märkten zu erleichtern. Zu diesem Zweck arbeiten sie insbesondere zusammen bei:</w:t>
      </w:r>
    </w:p>
    <w:p>
      <w:pPr>
        <w:pStyle w:val="Struktur1"/>
      </w:pPr>
      <w:r>
        <w:t>(a)</w:t>
        <w:tab/>
        <w:t>der Stärkung von internationalen Normen als Grundlage für technische Vo</w:t>
      </w:r>
      <w:r>
        <w:t>r</w:t>
      </w:r>
      <w:r>
        <w:t>schriften einschliesslich der Konformitätsbewertungsverfahren;</w:t>
      </w:r>
    </w:p>
    <w:p>
      <w:pPr>
        <w:pStyle w:val="Struktur1"/>
      </w:pPr>
      <w:r>
        <w:t>(b)</w:t>
        <w:tab/>
        <w:t>der Förderung der Akkreditierung von Konformitätsbewertungsstellen auf der Basis der relevanten ISO/IEC-Normen und -richtlinien; sowie</w:t>
      </w:r>
    </w:p>
    <w:p>
      <w:pPr>
        <w:pStyle w:val="Struktur1"/>
      </w:pPr>
      <w:r>
        <w:t>(c)</w:t>
        <w:tab/>
        <w:t>der Förderung der gegenseitigen Akzeptanz von Konformitätsbewertungse</w:t>
      </w:r>
      <w:r>
        <w:t>r</w:t>
      </w:r>
      <w:r>
        <w:t>gebnissen der erwähnten Stellen, die im Rahmen eines entsprechenden mu</w:t>
      </w:r>
      <w:r>
        <w:t>l</w:t>
      </w:r>
      <w:r>
        <w:t>tilateralen Abkommens zwischen ihren jeweiligen Akkreditierungssystemen oder Akkreditierungsstellen anerkannt worden sind.</w:t>
      </w:r>
    </w:p>
    <w:p>
      <w:pPr>
        <w:pStyle w:val="Absatz"/>
        <w:rPr>
          <w:snapToGrid w:val="0"/>
          <w:color w:val="000000"/>
        </w:rPr>
      </w:pPr>
      <w:r>
        <w:rPr>
          <w:snapToGrid w:val="0"/>
          <w:color w:val="000000"/>
        </w:rPr>
        <w:t>3</w:t>
      </w:r>
      <w:r>
        <w:t>.  </w:t>
      </w:r>
      <w:r>
        <w:rPr>
          <w:snapToGrid w:val="0"/>
          <w:color w:val="000000"/>
        </w:rPr>
        <w:t>Die Vertragsparteien verpflichten sich im Zusammenhang mit diesem Artikel ohne Verzug:</w:t>
      </w:r>
    </w:p>
    <w:p>
      <w:pPr>
        <w:pStyle w:val="Struktur1"/>
        <w:rPr>
          <w:snapToGrid w:val="0"/>
        </w:rPr>
      </w:pPr>
      <w:r>
        <w:rPr>
          <w:snapToGrid w:val="0"/>
        </w:rPr>
        <w:t>(a)</w:t>
        <w:tab/>
      </w:r>
      <w:r>
        <w:t>den Informationsaustausch auszuweiten; und</w:t>
      </w:r>
    </w:p>
    <w:p>
      <w:pPr>
        <w:pStyle w:val="Struktur1"/>
        <w:rPr>
          <w:b/>
          <w:bCs/>
          <w:snapToGrid w:val="0"/>
        </w:rPr>
      </w:pPr>
      <w:r>
        <w:rPr>
          <w:snapToGrid w:val="0"/>
        </w:rPr>
        <w:t>(b)</w:t>
        <w:tab/>
        <w:t>jedes schriftliche Gesuch um eine Konsultation wohlwollend in Erwägung zu ziehen.</w:t>
      </w:r>
    </w:p>
    <w:p>
      <w:pPr>
        <w:pStyle w:val="Absatz"/>
      </w:pPr>
      <w:r>
        <w:t>4.  Unbeschadet von Absatz 1 vereinbaren die Vertragsparteien, im Gemischten Ausschuss Konsultationen aufzunehmen, um in Übereinstimmung mit dem WTO-Übereinkommen über die technischen Handelshemmnisse eine geeignete Lösung zu finden, falls Singapur oder ein EFTA-Staat der Ansicht ist, dass ein oder mehrere EFTA-Staaten beziehungsweise Singapur Massnahmen ergriffen haben, die ein Handelshemmnis schaffen oder schaffen könnten.</w:t>
      </w:r>
    </w:p>
    <w:p>
      <w:pPr>
        <w:pStyle w:val="Heading9"/>
      </w:pPr>
      <w:bookmarkEnd w:id="8"/>
      <w:bookmarkEnd w:id="9"/>
      <w:r>
        <w:rPr>
          <w:b/>
          <w:bCs/>
        </w:rPr>
        <w:t>Art. 14</w:t>
      </w:r>
      <w:r>
        <w:tab/>
        <w:t>Staatliche Handelsunternehmen</w:t>
      </w:r>
    </w:p>
    <w:p>
      <w:pPr>
        <w:pStyle w:val="Absatz"/>
      </w:pPr>
      <w:r>
        <w:t>Die Rechte und Pflichten der Vertragsparteien in Bezug auf die staatlichen Handel</w:t>
      </w:r>
      <w:r>
        <w:t>s</w:t>
      </w:r>
      <w:r>
        <w:t>unternehmen richten sich nach Artikel XVII GATT 1994 sowie nach der Verein</w:t>
      </w:r>
      <w:r>
        <w:softHyphen/>
        <w:t>barung über die Auslegung von Artikel XVII GATT 1994</w:t>
      </w:r>
      <w:r>
        <w:rPr>
          <w:rStyle w:val="FootnoteReference"/>
          <w:noProof w:val="0"/>
          <w:lang w:val="de-CH" w:eastAsia="de-DE"/>
        </w:rPr>
        <w:footnoteReference w:id="12"/>
      </w:r>
      <w:r>
        <w:t>, die hiermit zum B</w:t>
      </w:r>
      <w:r>
        <w:t>e</w:t>
      </w:r>
      <w:r>
        <w:t>standteil dieses Abkommens erklärt werden.</w:t>
      </w:r>
    </w:p>
    <w:p>
      <w:pPr>
        <w:pStyle w:val="Heading9"/>
      </w:pPr>
      <w:r>
        <w:rPr>
          <w:b/>
          <w:bCs/>
        </w:rPr>
        <w:t>Art. 15</w:t>
      </w:r>
      <w:r>
        <w:tab/>
        <w:t>Subventionen</w:t>
      </w:r>
    </w:p>
    <w:p>
      <w:pPr>
        <w:pStyle w:val="Absatz"/>
      </w:pPr>
      <w:r>
        <w:t>Die Rechte und Pflichten der Vertragsparteien in Bezug auf Subventionen und Au</w:t>
      </w:r>
      <w:r>
        <w:t>s</w:t>
      </w:r>
      <w:r>
        <w:t>gleichsmassnahmen richten sich nach den Artikeln VI und XVI GATT 1994, dem WTO-Übereinkommen über Subventionen und Ausgleichsmassnahmen</w:t>
      </w:r>
      <w:r>
        <w:rPr>
          <w:rStyle w:val="FootnoteReference"/>
          <w:noProof w:val="0"/>
          <w:lang w:val="de-CH" w:eastAsia="de-DE"/>
        </w:rPr>
        <w:footnoteReference w:id="13"/>
      </w:r>
      <w:r>
        <w:t xml:space="preserve"> sowie dem WTO-Übereinkommen über die Landwirtschaft</w:t>
      </w:r>
      <w:r>
        <w:rPr>
          <w:rStyle w:val="FootnoteReference"/>
          <w:noProof w:val="0"/>
          <w:lang w:val="de-CH" w:eastAsia="de-DE"/>
        </w:rPr>
        <w:footnoteReference w:id="14"/>
      </w:r>
      <w:r>
        <w:t>.</w:t>
      </w:r>
    </w:p>
    <w:p>
      <w:pPr>
        <w:pStyle w:val="Heading9"/>
      </w:pPr>
      <w:r>
        <w:rPr>
          <w:b/>
          <w:bCs/>
        </w:rPr>
        <w:t>Art. 16</w:t>
      </w:r>
      <w:r>
        <w:tab/>
      </w:r>
      <w:bookmarkStart w:id="13" w:name="_Toc495831165"/>
      <w:bookmarkStart w:id="14" w:name="_Toc495980598"/>
      <w:bookmarkStart w:id="15" w:name="_Toc495986463"/>
      <w:r>
        <w:t>Antidumping</w:t>
      </w:r>
      <w:bookmarkEnd w:id="13"/>
      <w:bookmarkEnd w:id="14"/>
      <w:bookmarkEnd w:id="15"/>
      <w:r>
        <w:t>massnahmen</w:t>
      </w:r>
    </w:p>
    <w:p>
      <w:pPr>
        <w:pStyle w:val="Absatz"/>
      </w:pPr>
      <w:r>
        <w:t>1.  Die Vertragsparteien verzichten auf die Anwendung von Antidumpingmassna</w:t>
      </w:r>
      <w:r>
        <w:t>h</w:t>
      </w:r>
      <w:r>
        <w:t>men, die im Übereinkommen zur Durchführung von Artikel VI GATT 1994</w:t>
      </w:r>
      <w:r>
        <w:rPr>
          <w:rStyle w:val="FootnoteReference"/>
          <w:noProof w:val="0"/>
          <w:lang w:val="de-CH" w:eastAsia="de-DE"/>
        </w:rPr>
        <w:footnoteReference w:id="15"/>
      </w:r>
      <w:r>
        <w:t xml:space="preserve"> b</w:t>
      </w:r>
      <w:r>
        <w:t>e</w:t>
      </w:r>
      <w:r>
        <w:t>züglich Waren mit Ursprung in einer anderen Vertragspartei vorgesehen sind.</w:t>
      </w:r>
    </w:p>
    <w:p>
      <w:pPr>
        <w:pStyle w:val="Absatz"/>
      </w:pPr>
      <w:r>
        <w:t>2.  Um Dumpingpraktiken zu verhindern, ergreifen die Vertragsparteien die in Kapitel V vorgesehenen Massnahmen.</w:t>
      </w:r>
    </w:p>
    <w:p>
      <w:pPr>
        <w:pStyle w:val="Heading9"/>
      </w:pPr>
      <w:r>
        <w:rPr>
          <w:b/>
          <w:bCs/>
        </w:rPr>
        <w:t>Art. 17</w:t>
      </w:r>
      <w:r>
        <w:tab/>
        <w:t>Schutzmassnahmen bei der Einfuhr bestimmter Waren</w:t>
      </w:r>
    </w:p>
    <w:p>
      <w:pPr>
        <w:pStyle w:val="Absatz"/>
      </w:pPr>
      <w:r>
        <w:t>1.  Wird eine Ware einer Vertragspartei infolge der im Rahmen dieses Abkommens vereinbarten Senkung oder Aufhebung von Zöllen in derart erhöhten Mengen und unter derartigen Bedingungen in das Hoheitsgebiet der anderen Vertragspartei eingeführt, dass dem inländischen Wirtschaftszweig, der gleichartige oder unmitte</w:t>
      </w:r>
      <w:r>
        <w:t>l</w:t>
      </w:r>
      <w:r>
        <w:t>bar konkurrierende Waren herstellt, im Hoheitsgebiet der einführenden Vertragspa</w:t>
      </w:r>
      <w:r>
        <w:t>r</w:t>
      </w:r>
      <w:r>
        <w:t>tei erheblicher Schaden zugefügt wird oder zugefügt zu werden droht, so kann die ei</w:t>
      </w:r>
      <w:r>
        <w:t>n</w:t>
      </w:r>
      <w:r>
        <w:t>führende Vertragspartei die minimal nötigen Schutzmassnahmen treffen, um den Schaden zu verhüten oder zu beheben.</w:t>
      </w:r>
    </w:p>
    <w:p>
      <w:pPr>
        <w:pStyle w:val="Absatz"/>
      </w:pPr>
      <w:r>
        <w:t>2.  Solche Massnahmen bestehen aus einer Zollerhöhung für diese Waren, wobei die Zollbelastung nicht höher sein darf als:</w:t>
      </w:r>
    </w:p>
    <w:p>
      <w:pPr>
        <w:pStyle w:val="Struktur1"/>
      </w:pPr>
      <w:r>
        <w:t>(a)</w:t>
        <w:tab/>
        <w:t>der Zollansatz des meistbegünstigten Landes im Zeitpunkt, da die Mas</w:t>
      </w:r>
      <w:r>
        <w:t>s</w:t>
      </w:r>
      <w:r>
        <w:t>nahme getroffen wird; und</w:t>
      </w:r>
    </w:p>
    <w:p>
      <w:pPr>
        <w:pStyle w:val="Struktur1"/>
      </w:pPr>
      <w:r>
        <w:t>(b)</w:t>
        <w:tab/>
        <w:t>der am Tag unmittelbar vor dem Inkrafttreten dieses Abkommens angewe</w:t>
      </w:r>
      <w:r>
        <w:t>n</w:t>
      </w:r>
      <w:r>
        <w:t>dete Zollansatz für das meistbegünstigte Land.</w:t>
      </w:r>
    </w:p>
    <w:p>
      <w:pPr>
        <w:pStyle w:val="Absatz"/>
      </w:pPr>
      <w:r>
        <w:t>3.  Die Schutzmassnahmen gelten nicht länger als ein Jahr. Unter ganz ausserg</w:t>
      </w:r>
      <w:r>
        <w:t>e</w:t>
      </w:r>
      <w:r>
        <w:t>wöhnlichen Umständen können sie, nach Prüfung durch den Gemischten Ausschuss, bis auf maximal drei Jahre ausgedehnt werden. Ergreift eine Vertragspartei solche Massnahmen, so hat sie einen Zeitplan für deren schrittweise Aufhebung vorzul</w:t>
      </w:r>
      <w:r>
        <w:t>e</w:t>
      </w:r>
      <w:r>
        <w:t xml:space="preserve">gen. </w:t>
      </w:r>
      <w:r>
        <w:rPr>
          <w:color w:val="000000"/>
        </w:rPr>
        <w:t>Schutzmassnahmen werden nicht auf die Einfuhr von Waren angewendet, die innerhalb der letzten fünf Jahre bereits Gegenstand solcher Massnahmen waren.</w:t>
      </w:r>
    </w:p>
    <w:p>
      <w:pPr>
        <w:pStyle w:val="Absatz"/>
      </w:pPr>
      <w:r>
        <w:t>4.  Schutzmassnahmen dürfen nur dann ergriffen werden, wenn nach einer Unter</w:t>
      </w:r>
      <w:r>
        <w:softHyphen/>
        <w:t>suchung gemäss den im WTO-Übereinkommen über Schutzmassnahmen</w:t>
      </w:r>
      <w:r>
        <w:rPr>
          <w:rStyle w:val="FootnoteReference"/>
          <w:noProof w:val="0"/>
          <w:lang w:val="de-CH" w:eastAsia="de-DE"/>
        </w:rPr>
        <w:footnoteReference w:id="16"/>
      </w:r>
      <w:r>
        <w:t xml:space="preserve"> fest</w:t>
      </w:r>
      <w:r>
        <w:softHyphen/>
        <w:t>gelegten Verfahren klare Beweise vorliegen, dass die erhöhten Importe ernsthaften Schaden angerichtet haben oder anzurichten drohen.</w:t>
      </w:r>
    </w:p>
    <w:p>
      <w:pPr>
        <w:pStyle w:val="Absatz"/>
        <w:rPr>
          <w:highlight w:val="yellow"/>
        </w:rPr>
      </w:pPr>
      <w:r>
        <w:t>5.  Die Vertragspartei, welche beabsichtigt, eine Schutzmassnahme nach diesem Artikel zu ergreifen, unterrichtet unverzüglich die anderen Vertragsparteien und den Gemischten Ausschuss hiervon. Sie übermittelt gleichzeitig alle sachdienlichen Informationen wie Beweise für einen entstandenen oder drohenden ernsthaften Schaden infolge des Anstiegs der Einfuhren, eine genaue Beschreibung der frag</w:t>
      </w:r>
      <w:r>
        <w:softHyphen/>
        <w:t>l</w:t>
      </w:r>
      <w:r>
        <w:t>i</w:t>
      </w:r>
      <w:r>
        <w:t>chen Ware und der beabsichtigten Massnahme, das beabsichtigte Datum der Ein</w:t>
      </w:r>
      <w:r>
        <w:softHyphen/>
        <w:t>führung sowie die erwartete Geltungsdauer der Massnahme bzw. der Untersuchung. Jeder Vertragspartei, die durch diese Schutzmassnahmen betroffen sein könnte, wird ein Ausgleich durch eine im Wesentlichen gleichwertige Handelsliberalisierung im Verhältnis zu den Einfuhren dieser Vertragspartei angeboten.</w:t>
      </w:r>
    </w:p>
    <w:p>
      <w:pPr>
        <w:pStyle w:val="Absatz"/>
      </w:pPr>
      <w:r>
        <w:t>6.  Der Gemischte Ausschuss prüft innerhalb von 30 Tagen nach der Notifikation die gemäss Absatz 5 vorgelegten Informationen, um eine gegenseitig annehmbare Lösung in der Angelegenheit zu erleichtern. Wird keine zufriedenstellende Lösung erreicht, so kann die einführende Vertragspartei geeignete Massnahmen gemäss A</w:t>
      </w:r>
      <w:r>
        <w:t>b</w:t>
      </w:r>
      <w:r>
        <w:t>satz 2 ergreifen, um das Problem zu beheben. In Ermangelung eines gegenseitig vereinbarten Ausgleichs kann die Vertragspartei, deren Ware von der Massnahme betroffen ist, Ausgleichsmassnahmen treffen. Derartige Schutz- und Ausgleich</w:t>
      </w:r>
      <w:r>
        <w:t>s</w:t>
      </w:r>
      <w:r>
        <w:t>massnahmen sind dem Gemischten Ausschuss unverzüglich mitzuteilen. Die Au</w:t>
      </w:r>
      <w:r>
        <w:t>s</w:t>
      </w:r>
      <w:r>
        <w:t>gleichsmassnahmen bestehen aus der Aussetzung von Zugeständnissen, die im W</w:t>
      </w:r>
      <w:r>
        <w:t>e</w:t>
      </w:r>
      <w:r>
        <w:t>sentlichen die gleichen Handelseffekte oder den gleichen Wert haben wie die von den Schutzmassnahmen zu erwartenden zusätzlichen Zölle. Bei der Wahl der Schutzmassnahmen und der Ausgleichsmassnahmen ist solchen Massnahmen Vo</w:t>
      </w:r>
      <w:r>
        <w:t>r</w:t>
      </w:r>
      <w:r>
        <w:t>rang einzuräumen, welche die Bestimmungen dieses Abkommens am wenigsten b</w:t>
      </w:r>
      <w:r>
        <w:t>e</w:t>
      </w:r>
      <w:r>
        <w:t>einträchtigen.</w:t>
      </w:r>
    </w:p>
    <w:p>
      <w:pPr>
        <w:pStyle w:val="Absatz"/>
      </w:pPr>
      <w:r>
        <w:t>7.  Liegen kritische Umstände vor, unter denen ein Aufschub einen schwer wiede</w:t>
      </w:r>
      <w:r>
        <w:t>r</w:t>
      </w:r>
      <w:r>
        <w:t>gutzumachenden Schaden verursachen würde, so kann eine Vertragspartei eine vorläufige Schutzmassnahme treffen, nachdem sie zuvor festgestellt hat, dass ei</w:t>
      </w:r>
      <w:r>
        <w:t>n</w:t>
      </w:r>
      <w:r>
        <w:t>deutige Beweise dafür vorliegen, dass der Anstieg der Einfuhren einen ernsthaften Schaden verursacht oder zu verursachen droht. Die Vertragspartei, welche beabsic</w:t>
      </w:r>
      <w:r>
        <w:t>h</w:t>
      </w:r>
      <w:r>
        <w:t>tigt, eine solche Massnahme zu ergreifen, informiert umgehend die anderen Ve</w:t>
      </w:r>
      <w:r>
        <w:t>r</w:t>
      </w:r>
      <w:r>
        <w:t>tragsparteien sowie den Gemischten Ausschuss hiervon. Die Geltungsdauer einer solchen vorlä</w:t>
      </w:r>
      <w:r>
        <w:t>u</w:t>
      </w:r>
      <w:r>
        <w:t>figen Massnahme wird auf die anfängliche Geltungsdauer und auf jede Verläng</w:t>
      </w:r>
      <w:r>
        <w:t>e</w:t>
      </w:r>
      <w:r>
        <w:t>rung angerechnet.</w:t>
      </w:r>
    </w:p>
    <w:p>
      <w:pPr>
        <w:pStyle w:val="Absatz"/>
      </w:pPr>
      <w:r>
        <w:t>8.  Zwei Jahre nach dem Inkrafttreten dieses Abkommens treffen sich die Vertrag</w:t>
      </w:r>
      <w:r>
        <w:t>s</w:t>
      </w:r>
      <w:r>
        <w:t>parteien, um diesen Artikel zu überprüfen und zu entscheiden, ob ein Mechanismus für Schutzmassnahmen aufrechterhalten werden soll.</w:t>
      </w:r>
    </w:p>
    <w:p>
      <w:pPr>
        <w:pStyle w:val="Absatz"/>
      </w:pPr>
      <w:r>
        <w:t>9.  Entscheiden sich die Vertragsparteien nach der ersten Überprüfung für die For</w:t>
      </w:r>
      <w:r>
        <w:t>t</w:t>
      </w:r>
      <w:r>
        <w:t>führung eines solchen Mechanismus, so überprüfen sie diesen in der Folge alle zwei Jahre im Gemischten Ausschuss.</w:t>
      </w:r>
    </w:p>
    <w:p>
      <w:pPr>
        <w:pStyle w:val="Heading9"/>
      </w:pPr>
      <w:bookmarkStart w:id="16" w:name="_Toc495980605"/>
      <w:bookmarkStart w:id="17" w:name="_Toc495986470"/>
      <w:r>
        <w:rPr>
          <w:b/>
          <w:bCs/>
        </w:rPr>
        <w:t>Art. 18</w:t>
      </w:r>
      <w:r>
        <w:tab/>
      </w:r>
      <w:bookmarkStart w:id="18" w:name="_Toc495831168"/>
      <w:bookmarkStart w:id="19" w:name="_Toc495980604"/>
      <w:bookmarkStart w:id="20" w:name="_Toc495986469"/>
      <w:r>
        <w:t>Zahlungsbilanzschwierigkeiten</w:t>
      </w:r>
      <w:bookmarkEnd w:id="18"/>
      <w:bookmarkEnd w:id="19"/>
      <w:bookmarkEnd w:id="20"/>
    </w:p>
    <w:p>
      <w:pPr>
        <w:pStyle w:val="Absatz"/>
      </w:pPr>
      <w:r>
        <w:t>1.  Die Vertragsparteien bemühen sich, aus Zahlungsbilanzgründen keine restrikt</w:t>
      </w:r>
      <w:r>
        <w:t>i</w:t>
      </w:r>
      <w:r>
        <w:t>ven Massnahmen einzuführen.</w:t>
      </w:r>
    </w:p>
    <w:p>
      <w:pPr>
        <w:pStyle w:val="Absatz"/>
      </w:pPr>
      <w:r>
        <w:t>2.  Bei bestehenden oder unmittelbar drohenden schwerwiegenden Zahlungsbilan</w:t>
      </w:r>
      <w:r>
        <w:t>z</w:t>
      </w:r>
      <w:r>
        <w:t>schwierigkeiten kann eine Vertragspartei unter den Voraussetzungen des GATT 1994 und der WTO-Vereinbarung über die Zahlungsbilanzbestimmungen</w:t>
      </w:r>
      <w:r>
        <w:rPr>
          <w:rStyle w:val="FootnoteReference"/>
          <w:noProof w:val="0"/>
          <w:lang w:val="de-CH" w:eastAsia="de-DE"/>
        </w:rPr>
        <w:footnoteReference w:id="17"/>
      </w:r>
      <w:r>
        <w:t xml:space="preserve"> Ha</w:t>
      </w:r>
      <w:r>
        <w:t>n</w:t>
      </w:r>
      <w:r>
        <w:t>delsbeschränkungen einführen. Diese dürfen nur vorübergehend gelten, keine Di</w:t>
      </w:r>
      <w:r>
        <w:t>s</w:t>
      </w:r>
      <w:r>
        <w:t>kriminierungen schaffen und das zur Behebung der Zahlungsbilanzschwierigke</w:t>
      </w:r>
      <w:r>
        <w:t>i</w:t>
      </w:r>
      <w:r>
        <w:t>ten notwendige Mass nicht übersteigen. Die relevanten Bestimmungen des GATT 1994 und der WTO-Vereinbarung über die Zahlungsbilanzbestimmungen werden hiermit zum integralen Bestandteil dieses Abkommens erklärt.</w:t>
      </w:r>
    </w:p>
    <w:p>
      <w:pPr>
        <w:pStyle w:val="Absatz"/>
      </w:pPr>
      <w:r>
        <w:t>3.  Die Vertragspartei, die Massnahmen nach diesem Artikel einführt, unterrichtet unverzüglich die anderen Vertragsparteien und den Gemischten Ausschuss hiervon.</w:t>
      </w:r>
    </w:p>
    <w:p>
      <w:pPr>
        <w:pStyle w:val="Heading9"/>
      </w:pPr>
      <w:r>
        <w:rPr>
          <w:b/>
          <w:bCs/>
        </w:rPr>
        <w:t>Art. 19</w:t>
      </w:r>
      <w:r>
        <w:tab/>
      </w:r>
      <w:bookmarkEnd w:id="16"/>
      <w:bookmarkEnd w:id="17"/>
      <w:r>
        <w:t>Allgemeine Ausnahmen</w:t>
      </w:r>
    </w:p>
    <w:p>
      <w:pPr>
        <w:pStyle w:val="Absatz"/>
      </w:pPr>
      <w:r>
        <w:t>Unter dem Vorbehalt, dass die nachstehenden Massnahmen nicht in einer Weise angewendet werden, dass sie ein Mittel zur willkürlichen oder ungerechtfertigten Di</w:t>
      </w:r>
      <w:r>
        <w:t>s</w:t>
      </w:r>
      <w:r>
        <w:t>kriminierung zwischen Ländern, bei denen die gleichen Verhältnisse vorliegen, oder eine verschleierte Beschränkung im internationalen Handel darstellen, soll keine Bestimmung dieses Abkommens so ausgelegt werden, dass sie einen Ve</w:t>
      </w:r>
      <w:r>
        <w:t>r</w:t>
      </w:r>
      <w:r>
        <w:t>tragspartei hindern würde, Massnahmen zu beschliessen oder durchzuführen, we</w:t>
      </w:r>
      <w:r>
        <w:t>l</w:t>
      </w:r>
      <w:r>
        <w:t>che:</w:t>
      </w:r>
    </w:p>
    <w:p>
      <w:pPr>
        <w:pStyle w:val="Struktur1"/>
      </w:pPr>
      <w:r>
        <w:t>(a)</w:t>
        <w:tab/>
        <w:t>zum Schutz der öffentlichen Sittlichkeit notwendig sind;</w:t>
      </w:r>
    </w:p>
    <w:p>
      <w:pPr>
        <w:pStyle w:val="Struktur1"/>
      </w:pPr>
      <w:r>
        <w:t>(b)</w:t>
        <w:tab/>
        <w:t>zum Schutz des Lebens und der Gesundheit von Menschen, Tieren und Pflanzen notwendig sind;</w:t>
      </w:r>
    </w:p>
    <w:p>
      <w:pPr>
        <w:pStyle w:val="Struktur1"/>
      </w:pPr>
      <w:r>
        <w:t>(c)</w:t>
        <w:tab/>
        <w:t>die Ein- oder Ausfuhr von Gold und Silber betreffen;</w:t>
      </w:r>
    </w:p>
    <w:p>
      <w:pPr>
        <w:pStyle w:val="Struktur1"/>
      </w:pPr>
      <w:r>
        <w:t>(d)</w:t>
        <w:tab/>
        <w:t>für die Gewährleistung der Einhaltung von Gesetzen oder sonstigen Vo</w:t>
      </w:r>
      <w:r>
        <w:t>r</w:t>
      </w:r>
      <w:r>
        <w:t>schriften notwendig sind und nicht in Widerspruch zu den Bestimmungen dieses Abkommens stehen, einschliesslich der Bestimmungen über die Durchführung der Zollvorschriften, die Ausübung von Monopolen, welche entsprechend Artikel II Ziffer 4 und Artikel XVII GATT 1994 gehandhabt werden, den Schutz von Patenten, Handelsmarken sowie Urheber- und R</w:t>
      </w:r>
      <w:r>
        <w:t>e</w:t>
      </w:r>
      <w:r>
        <w:t>produktionsrechten und die Verhinderung irreführender Praktiken;</w:t>
      </w:r>
    </w:p>
    <w:p>
      <w:pPr>
        <w:pStyle w:val="Struktur1"/>
      </w:pPr>
      <w:r>
        <w:t>(e)</w:t>
        <w:tab/>
        <w:t>in Verbindung mit Erzeugnissen aus Strafanstaltsarbeit stehen;</w:t>
      </w:r>
    </w:p>
    <w:p>
      <w:pPr>
        <w:pStyle w:val="Struktur1"/>
      </w:pPr>
      <w:r>
        <w:t>(f)</w:t>
        <w:tab/>
        <w:t>zum Schutz nationaler Kulturgüter von künstlerischem, historischem oder archäologischem Wert getroffen werden;</w:t>
      </w:r>
    </w:p>
    <w:p>
      <w:pPr>
        <w:pStyle w:val="Struktur1"/>
      </w:pPr>
      <w:r>
        <w:t>(g)</w:t>
        <w:tab/>
        <w:t>in Verbindung mit der Erhaltung nicht erneuerbarer natürlicher Ressourcen stehen, sofern solche Massnahmen zusammen mit Beschränkungen der i</w:t>
      </w:r>
      <w:r>
        <w:t>n</w:t>
      </w:r>
      <w:r>
        <w:t>ländischen Produktion oder des inländischen Konsums durchgeführt we</w:t>
      </w:r>
      <w:r>
        <w:t>r</w:t>
      </w:r>
      <w:r>
        <w:t>den;</w:t>
      </w:r>
    </w:p>
    <w:p>
      <w:pPr>
        <w:pStyle w:val="Struktur1"/>
      </w:pPr>
      <w:r>
        <w:t>(h)</w:t>
        <w:tab/>
        <w:t>in Erfüllung von Pflichten aus einem zwischenstaatlichen Rohstoffabko</w:t>
      </w:r>
      <w:r>
        <w:t>m</w:t>
      </w:r>
      <w:r>
        <w:t>men ergriffen werden, das den Kriterien entspricht, die den WTO Mitgli</w:t>
      </w:r>
      <w:r>
        <w:t>e</w:t>
      </w:r>
      <w:r>
        <w:t>dern unterbreitet und von diesen nicht abgelehnt worden sind, oder das selbst den Vertragsparteien vorgelegt und von ihnen nicht abgelehnt worden ist;</w:t>
      </w:r>
    </w:p>
    <w:p>
      <w:pPr>
        <w:pStyle w:val="Struktur1"/>
      </w:pPr>
      <w:r>
        <w:t>(i)</w:t>
        <w:tab/>
        <w:t>Beschränkungen der Ausfuhr von inländischen Materialien enthalten, die benötigt werden, um für eine einheimische Verarbeitungsindustrie die erfo</w:t>
      </w:r>
      <w:r>
        <w:t>r</w:t>
      </w:r>
      <w:r>
        <w:t>derlichen Mengen in einer Periode sicherzustellen, in der ihr Inlandspreis im Rahmen eines staatlichen Stabilisierungsprogramms unter dem Weltmark</w:t>
      </w:r>
      <w:r>
        <w:t>t</w:t>
      </w:r>
      <w:r>
        <w:t>preis gehalten wird; dies gilt unter dem Vorbehalt, dass derartige Beschrä</w:t>
      </w:r>
      <w:r>
        <w:t>n</w:t>
      </w:r>
      <w:r>
        <w:t>kungen nicht ein Ansteigen der Ausfuhr der betreffenden inländischen I</w:t>
      </w:r>
      <w:r>
        <w:t>n</w:t>
      </w:r>
      <w:r>
        <w:t>dus</w:t>
      </w:r>
      <w:r>
        <w:softHyphen/>
        <w:t>trie oder eine Verstärkung des ihr gewährten Schutzes zur Folge haben, sowie dass sie den Bestimmungen über Nichtdiskriminierung des GATT 1994 nicht zuwiderlaufen;</w:t>
      </w:r>
    </w:p>
    <w:p>
      <w:pPr>
        <w:pStyle w:val="Struktur1"/>
      </w:pPr>
      <w:r>
        <w:t>(j)</w:t>
        <w:tab/>
        <w:t>für den Erwerb oder Vertrieb von Waren in Zeiten allgemeiner oder region</w:t>
      </w:r>
      <w:r>
        <w:t>a</w:t>
      </w:r>
      <w:r>
        <w:t>ler Verknappung wesentlich sind; dies gilt unter dem Vorbehalt, dass diese Massnahmen dem Grundsatz entsprechen, wonach alle WTO-Mit</w:t>
      </w:r>
      <w:r>
        <w:softHyphen/>
        <w:t>glie</w:t>
      </w:r>
      <w:r>
        <w:softHyphen/>
        <w:t>der ein Anrecht auf einen gerechten Anteil des internationalen Angebots solcher Waren haben und dass solche dem Abkommen widersprechende Massna</w:t>
      </w:r>
      <w:r>
        <w:t>h</w:t>
      </w:r>
      <w:r>
        <w:t>men bei Änderung der Umstände wieder aufzuheben sind.</w:t>
      </w:r>
    </w:p>
    <w:p>
      <w:pPr>
        <w:pStyle w:val="Heading9"/>
      </w:pPr>
      <w:bookmarkStart w:id="21" w:name="_Toc495831170"/>
      <w:bookmarkStart w:id="22" w:name="_Toc495980608"/>
      <w:bookmarkStart w:id="23" w:name="_Toc495986473"/>
      <w:r>
        <w:rPr>
          <w:b/>
          <w:bCs/>
        </w:rPr>
        <w:t>Art. 20</w:t>
      </w:r>
      <w:r>
        <w:tab/>
      </w:r>
      <w:bookmarkEnd w:id="21"/>
      <w:bookmarkEnd w:id="22"/>
      <w:bookmarkEnd w:id="23"/>
      <w:r>
        <w:t>Ausnahmen aus Gründen der Sicherheit</w:t>
      </w:r>
    </w:p>
    <w:p>
      <w:pPr>
        <w:pStyle w:val="Absatz"/>
      </w:pPr>
      <w:r>
        <w:t>Keine Bestimmung dieses Kapitels soll dahin ausgelegt werden:</w:t>
      </w:r>
    </w:p>
    <w:p>
      <w:pPr>
        <w:pStyle w:val="Struktur1"/>
      </w:pPr>
      <w:r>
        <w:t>(a)</w:t>
        <w:tab/>
        <w:t>dass sie einer Vertragspartei die Verpflichtung auferlegt, Auskünfte zu erte</w:t>
      </w:r>
      <w:r>
        <w:t>i</w:t>
      </w:r>
      <w:r>
        <w:t>len, deren Offenlegung sie als ihren wesentlichen Sicherheitsinteressen en</w:t>
      </w:r>
      <w:r>
        <w:t>t</w:t>
      </w:r>
      <w:r>
        <w:t>gegenstehend ansieht; oder</w:t>
      </w:r>
    </w:p>
    <w:p>
      <w:pPr>
        <w:pStyle w:val="Struktur1"/>
      </w:pPr>
      <w:r>
        <w:t>(b)</w:t>
        <w:tab/>
        <w:t>dass eine Vertragspartei daran gehindert wird, Massnahmen zu treffen, die sie zum Schutz ihrer wesentlichen Sicherheitsinteressen als erforderlich e</w:t>
      </w:r>
      <w:r>
        <w:t>r</w:t>
      </w:r>
      <w:r>
        <w:t>achtet:</w:t>
      </w:r>
    </w:p>
    <w:p>
      <w:pPr>
        <w:pStyle w:val="Struktur2"/>
      </w:pPr>
      <w:r>
        <w:t>(i)</w:t>
        <w:tab/>
        <w:t>betreffend spaltbare Stoffe oder Stoffe, aus denen diese erzeugt werden;</w:t>
      </w:r>
    </w:p>
    <w:p>
      <w:pPr>
        <w:pStyle w:val="Struktur2"/>
      </w:pPr>
      <w:r>
        <w:t>(ii)</w:t>
        <w:tab/>
        <w:t>betreffend den Handel mit Waffen, Munition und Kriegsmaterial sowie jeden Handel mit anderen Waren und Materialien, die unmittelbar oder mittelbar zur Versorgung einer militärischen Einrichtung bestimmt sind;</w:t>
      </w:r>
    </w:p>
    <w:p>
      <w:pPr>
        <w:pStyle w:val="Struktur2"/>
      </w:pPr>
      <w:r>
        <w:t>(iii)</w:t>
        <w:tab/>
        <w:t>die in Kriegszeiten oder im Falle einer anderen ernsthaften internation</w:t>
      </w:r>
      <w:r>
        <w:t>a</w:t>
      </w:r>
      <w:r>
        <w:t>len Spannung ergriffen werden; oder</w:t>
      </w:r>
    </w:p>
    <w:p>
      <w:pPr>
        <w:pStyle w:val="Struktur1"/>
      </w:pPr>
      <w:r>
        <w:t>(c)</w:t>
        <w:tab/>
        <w:t>dass eine Vertragspartei daran gehindert wird, eine Massnahme zur Erfü</w:t>
      </w:r>
      <w:r>
        <w:t>l</w:t>
      </w:r>
      <w:r>
        <w:t>lung ihrer Verpflichtungen auf Grund der Charta der Vereinten Nationen zur Erhaltung des Weltfriedens und der internationalen Sicherheit zu treffen.</w:t>
      </w:r>
    </w:p>
    <w:p>
      <w:pPr>
        <w:pStyle w:val="Abstand18pt"/>
      </w:pPr>
    </w:p>
    <w:p>
      <w:pPr>
        <w:pStyle w:val="Heading1"/>
      </w:pPr>
      <w:r>
        <w:t>III</w:t>
        <w:tab/>
        <w:t>Dienstleistungen</w:t>
      </w:r>
    </w:p>
    <w:p>
      <w:pPr>
        <w:pStyle w:val="Heading9"/>
      </w:pPr>
      <w:r>
        <w:rPr>
          <w:b/>
          <w:bCs/>
        </w:rPr>
        <w:t>Art. 21</w:t>
      </w:r>
      <w:r>
        <w:tab/>
        <w:t>Geltungsbereich</w:t>
      </w:r>
    </w:p>
    <w:p>
      <w:pPr>
        <w:pStyle w:val="Absatz"/>
      </w:pPr>
      <w:r>
        <w:t>1.  Dieses Kapitel findet Anwendung auf die Massnahmen zentraler, regionaler oder lokaler Regierungen und Behörden sowie auf die Massnahmen nichtstaatlicher Stellen, die in Ausübung der ihnen von zentralen, regionalen oder lokalen Regieru</w:t>
      </w:r>
      <w:r>
        <w:t>n</w:t>
      </w:r>
      <w:r>
        <w:t>gen oder Behörden übertragenen Befugnisse handeln.</w:t>
      </w:r>
    </w:p>
    <w:p>
      <w:pPr>
        <w:pStyle w:val="Absatz"/>
        <w:rPr>
          <w:lang w:eastAsia="de-CH"/>
        </w:rPr>
      </w:pPr>
      <w:r>
        <w:t>2.  </w:t>
      </w:r>
      <w:r>
        <w:rPr>
          <w:lang w:eastAsia="de-CH"/>
        </w:rPr>
        <w:t>Bezüglich Luftverkehrsdienstleistungen gilt dieses Kapitel weder für Massnahmen, die bereits gewährte Luftverkehrsrechte betreffen, wie auch immer diese gewährt wurden, noch für Massnahmen, welche Dienstleistungen betreffen, die unmittelbar mit der Ausübung von Luftverkehrsrechten zusammenhängen, sofern sie nicht Folgendes betreffen:</w:t>
      </w:r>
    </w:p>
    <w:p>
      <w:pPr>
        <w:pStyle w:val="Struktur1"/>
        <w:rPr>
          <w:lang w:eastAsia="de-CH"/>
        </w:rPr>
      </w:pPr>
      <w:r>
        <w:rPr>
          <w:lang w:eastAsia="de-CH"/>
        </w:rPr>
        <w:t>(a)</w:t>
      </w:r>
      <w:r>
        <w:tab/>
      </w:r>
      <w:r>
        <w:rPr>
          <w:lang w:eastAsia="de-CH"/>
        </w:rPr>
        <w:t>Luftfahrzeuginstandsetzungs- und -wartungsdienstleistungen;</w:t>
      </w:r>
    </w:p>
    <w:p>
      <w:pPr>
        <w:pStyle w:val="Struktur1"/>
        <w:rPr>
          <w:lang w:eastAsia="de-CH"/>
        </w:rPr>
      </w:pPr>
      <w:r>
        <w:rPr>
          <w:lang w:eastAsia="de-CH"/>
        </w:rPr>
        <w:t>(b)</w:t>
      </w:r>
      <w:r>
        <w:tab/>
      </w:r>
      <w:r>
        <w:rPr>
          <w:lang w:eastAsia="de-CH"/>
        </w:rPr>
        <w:t>Verkauf und Vermarktung von Luftverkehrsdienstleistungen; oder</w:t>
      </w:r>
    </w:p>
    <w:p>
      <w:pPr>
        <w:pStyle w:val="Struktur1"/>
        <w:rPr>
          <w:lang w:eastAsia="de-CH"/>
        </w:rPr>
      </w:pPr>
      <w:r>
        <w:rPr>
          <w:lang w:eastAsia="de-CH"/>
        </w:rPr>
        <w:t>(c)</w:t>
      </w:r>
      <w:r>
        <w:tab/>
      </w:r>
      <w:r>
        <w:rPr>
          <w:lang w:eastAsia="de-CH"/>
        </w:rPr>
        <w:t>Dienstleistungen computergestützter Reservierungssysteme</w:t>
      </w:r>
      <w:r>
        <w:rPr>
          <w:rStyle w:val="FootnoteReference"/>
          <w:noProof w:val="0"/>
          <w:lang w:val="de-CH" w:eastAsia="de-DE"/>
        </w:rPr>
        <w:footnoteReference w:id="18"/>
      </w:r>
      <w:r>
        <w:rPr>
          <w:lang w:eastAsia="de-CH"/>
        </w:rPr>
        <w:t>.</w:t>
      </w:r>
      <w:r>
        <w:rPr>
          <w:rStyle w:val="FootnoteReference"/>
          <w:noProof w:val="0"/>
          <w:lang w:val="de-CH" w:eastAsia="de-CH"/>
        </w:rPr>
        <w:footnoteReference w:id="19"/>
      </w:r>
    </w:p>
    <w:p>
      <w:pPr>
        <w:pStyle w:val="Absatz"/>
      </w:pPr>
      <w:r>
        <w:t>3.  </w:t>
      </w:r>
      <w:r>
        <w:rPr>
          <w:snapToGrid w:val="0"/>
        </w:rPr>
        <w:t>Die EFTA-Staaten und Singapur kommen überein, die Entwicklungen im Luf</w:t>
      </w:r>
      <w:r>
        <w:rPr>
          <w:snapToGrid w:val="0"/>
        </w:rPr>
        <w:t>t</w:t>
      </w:r>
      <w:r>
        <w:rPr>
          <w:snapToGrid w:val="0"/>
        </w:rPr>
        <w:t>verkehrssektor zu prüfen, um den Bedarf nach weiterer Zusammenarbeit in diesem Bereich erneut zu beurteilen.</w:t>
      </w:r>
    </w:p>
    <w:p>
      <w:pPr>
        <w:pStyle w:val="Absatz"/>
      </w:pPr>
      <w:r>
        <w:t>4.  Dieses Kapitel darf nicht so ausgelegt werden, als auferlege es den Vertragspa</w:t>
      </w:r>
      <w:r>
        <w:t>r</w:t>
      </w:r>
      <w:r>
        <w:t>teien irgendwelche Pflichten in Bezug auf öffentliche Beschaffungen</w:t>
      </w:r>
      <w:r>
        <w:rPr>
          <w:color w:val="0000FF"/>
        </w:rPr>
        <w:t>.</w:t>
      </w:r>
    </w:p>
    <w:p>
      <w:pPr>
        <w:pStyle w:val="Heading9"/>
      </w:pPr>
      <w:r>
        <w:rPr>
          <w:b/>
          <w:bCs/>
        </w:rPr>
        <w:t>Art. 22</w:t>
      </w:r>
      <w:r>
        <w:tab/>
        <w:t>Begriffsbestimmungen</w:t>
      </w:r>
    </w:p>
    <w:p>
      <w:pPr>
        <w:pStyle w:val="Absatz"/>
        <w:rPr>
          <w:color w:val="000000"/>
        </w:rPr>
      </w:pPr>
      <w:r>
        <w:t>Für die Zwecke dieses Kapitels:</w:t>
      </w:r>
    </w:p>
    <w:p>
      <w:pPr>
        <w:pStyle w:val="Struktur1"/>
      </w:pPr>
      <w:r>
        <w:t>(a)</w:t>
        <w:tab/>
        <w:t>bedeutet der Begriff «Massnahme» jede von einer Vertragspartei getroffene Massnahme, unabhängig davon, ob sie in Form eines Gesetzes, einer sonst</w:t>
      </w:r>
      <w:r>
        <w:t>i</w:t>
      </w:r>
      <w:r>
        <w:t>gen Vorschrift, einer Regel, eines Verfahrens, eines Entscheides, einer Ve</w:t>
      </w:r>
      <w:r>
        <w:t>r</w:t>
      </w:r>
      <w:r>
        <w:t>waltungsmassnahme oder in sonstiger Form getroffen wird;</w:t>
      </w:r>
    </w:p>
    <w:p>
      <w:pPr>
        <w:pStyle w:val="Struktur1"/>
      </w:pPr>
      <w:r>
        <w:t>(b)</w:t>
        <w:tab/>
        <w:t>umfasst der Begriff «Erbringung einer Dienstleistung» die Produktion, den Vertrieb, die Vermarktung, den Verkauf und die Bereitstellung der Diens</w:t>
      </w:r>
      <w:r>
        <w:t>t</w:t>
      </w:r>
      <w:r>
        <w:t>leistung;</w:t>
      </w:r>
    </w:p>
    <w:p>
      <w:pPr>
        <w:pStyle w:val="Struktur1"/>
      </w:pPr>
      <w:r>
        <w:t>(c)</w:t>
        <w:tab/>
        <w:t>umfasst der Begriff «den Dienstleistungshandel betreffende Massnahmen von Vertragsparteien» Massnahmen in Bezug auf:</w:t>
      </w:r>
    </w:p>
    <w:p>
      <w:pPr>
        <w:pStyle w:val="Struktur2"/>
      </w:pPr>
      <w:r>
        <w:t>(i)</w:t>
        <w:tab/>
        <w:t>den Kauf, die Bezahlung oder die Nutzung einer Dienstleistung;</w:t>
      </w:r>
    </w:p>
    <w:p>
      <w:pPr>
        <w:pStyle w:val="Struktur2"/>
      </w:pPr>
      <w:r>
        <w:t>(ii)</w:t>
        <w:tab/>
        <w:t>im Zusammenhang mit der Erbringung einer Dienstleistung den Zugang zu und die Nutzung von Dienstleistungen, in Bezug auf welche diese Vertragsparteien verlangen, dass sie der Öffentlichkeit allgemein ang</w:t>
      </w:r>
      <w:r>
        <w:t>e</w:t>
      </w:r>
      <w:r>
        <w:t>boten werden;</w:t>
      </w:r>
    </w:p>
    <w:p>
      <w:pPr>
        <w:pStyle w:val="Struktur2"/>
      </w:pPr>
      <w:r>
        <w:t>(iii)</w:t>
        <w:tab/>
        <w:t>den Aufenthalt, einschliesslich der gewerblichen Niederlassung, von Personen einer Vertragspartei zur Erbringung einer Dienstleistung im Hoheitsgebiet einer anderen Vertragspartei;</w:t>
      </w:r>
    </w:p>
    <w:p>
      <w:pPr>
        <w:pStyle w:val="Struktur1"/>
      </w:pPr>
      <w:r>
        <w:t>(d)</w:t>
        <w:tab/>
        <w:t>bedeutet der Begriff «gewerbliche Niederlassung» jede Art geschäftlicher oder beruflicher Niederlassung durch unter anderem:</w:t>
      </w:r>
    </w:p>
    <w:p>
      <w:pPr>
        <w:pStyle w:val="Struktur2"/>
      </w:pPr>
      <w:r>
        <w:t>(i)</w:t>
        <w:tab/>
        <w:t>die Errichtung, den Erwerb oder die Fortführung einer juristischen Pe</w:t>
      </w:r>
      <w:r>
        <w:t>r</w:t>
      </w:r>
      <w:r>
        <w:t>son oder</w:t>
      </w:r>
    </w:p>
    <w:p>
      <w:pPr>
        <w:pStyle w:val="Struktur2"/>
      </w:pPr>
      <w:r>
        <w:t>(ii)</w:t>
        <w:tab/>
        <w:t>die Errichtung oder die Fortführung einer Zweigstelle oder einer Ve</w:t>
      </w:r>
      <w:r>
        <w:t>r</w:t>
      </w:r>
      <w:r>
        <w:t>tretung</w:t>
      </w:r>
    </w:p>
    <w:p>
      <w:pPr>
        <w:pStyle w:val="Struktur1"/>
      </w:pPr>
      <w:r>
        <w:tab/>
        <w:t>im Hoheitsgebiet einer Vertragspartei zum Zweck der Erbringung einer Dienstleistung;</w:t>
      </w:r>
    </w:p>
    <w:p>
      <w:pPr>
        <w:pStyle w:val="Struktur1"/>
      </w:pPr>
      <w:r>
        <w:t>(e)</w:t>
        <w:tab/>
        <w:t>bedeutet der Begriff «Sektor» einer Dienstleistung:</w:t>
      </w:r>
    </w:p>
    <w:p>
      <w:pPr>
        <w:pStyle w:val="Struktur2"/>
      </w:pPr>
      <w:r>
        <w:t>(i)</w:t>
        <w:tab/>
        <w:t>in Bezug auf eine besondere Verpflichtung einen Teilsektor oder me</w:t>
      </w:r>
      <w:r>
        <w:t>h</w:t>
      </w:r>
      <w:r>
        <w:t>rere oder alle Teilsektoren der betreffenden Dienstleistung gemäss der Aufstellung in der Liste einer Vertragspartei;</w:t>
      </w:r>
    </w:p>
    <w:p>
      <w:pPr>
        <w:pStyle w:val="Struktur2"/>
      </w:pPr>
      <w:r>
        <w:t>(ii)</w:t>
        <w:tab/>
        <w:t>in den übrigen Fällen die Gesamtheit des betreffenden Dienstleistung</w:t>
      </w:r>
      <w:r>
        <w:t>s</w:t>
      </w:r>
      <w:r>
        <w:t>sektors einschliesslich aller seiner Teilsektoren;</w:t>
      </w:r>
    </w:p>
    <w:p>
      <w:pPr>
        <w:pStyle w:val="Struktur1"/>
      </w:pPr>
      <w:r>
        <w:t>(f)</w:t>
        <w:tab/>
        <w:t>bedeutet der Begriff «Dienstleistungserbringer» eine Person, die eine Dienst</w:t>
      </w:r>
      <w:r>
        <w:softHyphen/>
        <w:t>leistung erbringt</w:t>
      </w:r>
      <w:r>
        <w:rPr>
          <w:rStyle w:val="FootnoteReference"/>
          <w:noProof w:val="0"/>
          <w:lang w:val="de-CH" w:eastAsia="de-DE"/>
        </w:rPr>
        <w:footnoteReference w:id="20"/>
      </w:r>
      <w:r>
        <w:t>;</w:t>
      </w:r>
    </w:p>
    <w:p>
      <w:pPr>
        <w:pStyle w:val="Struktur1"/>
      </w:pPr>
      <w:r>
        <w:t>(g)</w:t>
        <w:tab/>
        <w:t>bedeutet der Begriff «Dienstleistungsnutzer» eine Person, die eine Dienst</w:t>
      </w:r>
      <w:r>
        <w:softHyphen/>
        <w:t>leistung in Anspruch nimmt oder nutzt;</w:t>
      </w:r>
    </w:p>
    <w:p>
      <w:pPr>
        <w:pStyle w:val="Struktur1"/>
      </w:pPr>
      <w:r>
        <w:t>(h)</w:t>
        <w:tab/>
        <w:t>bedeutet der Begriff «Dienstleistung eines anderen Mitglieds» eine Diens</w:t>
      </w:r>
      <w:r>
        <w:t>t</w:t>
      </w:r>
      <w:r>
        <w:t>leistung, die erbracht wird:</w:t>
      </w:r>
    </w:p>
    <w:p>
      <w:pPr>
        <w:pStyle w:val="Struktur2"/>
      </w:pPr>
      <w:r>
        <w:t>(i)</w:t>
        <w:tab/>
        <w:t>aus dem oder in dem Hoheitsgebiet der betreffenden anderen Vertrag</w:t>
      </w:r>
      <w:r>
        <w:t>s</w:t>
      </w:r>
      <w:r>
        <w:t>partei oder im Fall des Seeverkehrs von einem nach den Gesetzen der betreffenden anderen Vertragspartei registrierten Wasserfahrzeug oder von einer Person der betreffenden anderen Vertragspartei, welche die Dienstleistung durch den Betrieb oder durch vollständige oder teilweise Nutzung des Wasserfahrzeugs erbringt; oder</w:t>
      </w:r>
    </w:p>
    <w:p>
      <w:pPr>
        <w:pStyle w:val="Struktur2"/>
      </w:pPr>
      <w:r>
        <w:t>(ii)</w:t>
        <w:tab/>
        <w:t>im Fall der Erbringung einer Dienstleistung durch gewerbliche Niede</w:t>
      </w:r>
      <w:r>
        <w:t>r</w:t>
      </w:r>
      <w:r>
        <w:t>lassung oder durch Aufenthalt natürlicher Personen durch einen Diens</w:t>
      </w:r>
      <w:r>
        <w:t>t</w:t>
      </w:r>
      <w:r>
        <w:t>leistungserbringer der betreffenden anderen Vertragspartei;</w:t>
      </w:r>
    </w:p>
    <w:p>
      <w:pPr>
        <w:pStyle w:val="Struktur1"/>
      </w:pPr>
      <w:r>
        <w:t>(i)</w:t>
        <w:tab/>
        <w:t>bedeutet der Begriff «Person» entweder eine natürliche oder eine juristische Person;</w:t>
      </w:r>
    </w:p>
    <w:p>
      <w:pPr>
        <w:pStyle w:val="Struktur1"/>
      </w:pPr>
      <w:r>
        <w:t>(j)</w:t>
        <w:tab/>
        <w:t>bedeutet der Begriff «natürliche Person einer Vertragspartei» eine natürliche Person, die im Hoheitsgebiet der betreffenden Vertragspartei oder anderswo ansässig ist und die nach dem Recht der betreffenden Vertragspartei:</w:t>
      </w:r>
    </w:p>
    <w:p>
      <w:pPr>
        <w:pStyle w:val="Struktur2"/>
      </w:pPr>
      <w:r>
        <w:t>(i)</w:t>
        <w:tab/>
        <w:t>Staatsangehöriger der betreffenden Vertragspartei ist; oder</w:t>
      </w:r>
    </w:p>
    <w:p>
      <w:pPr>
        <w:pStyle w:val="Struktur2"/>
      </w:pPr>
      <w:r>
        <w:t>(ii)</w:t>
        <w:tab/>
        <w:t>ein Recht auf dauernden Aufenthalt im Hoheitsgebiet der betreffenden Vertragspartei geniesst sowie in Bezug auf Massnahmen, die den Dienstleistungshandel betreffen, im Wesentlichen dieselbe Behandlung wie die Staatsangehörigen erhält;</w:t>
      </w:r>
    </w:p>
    <w:p>
      <w:pPr>
        <w:pStyle w:val="Struktur1"/>
      </w:pPr>
      <w:r>
        <w:t>(k)</w:t>
        <w:tab/>
        <w:t>bedeutet der Begriff «juristische Person» eine nach geltendem Recht or</w:t>
      </w:r>
      <w:r>
        <w:t>d</w:t>
      </w:r>
      <w:r>
        <w:t>nungsgemäss gegründete oder anderweitig errichtete rechtsfähige Organis</w:t>
      </w:r>
      <w:r>
        <w:t>a</w:t>
      </w:r>
      <w:r>
        <w:t>tionseinheit, unabhängig davon, ob sie der Gewinnerzielung dient und ob sie sich in privatem oder staatlichem Eigentum befindet, einschliesslich Kap</w:t>
      </w:r>
      <w:r>
        <w:t>i</w:t>
      </w:r>
      <w:r>
        <w:t>talgesellschaften, treuhänderisch tätiger Einrichtungen, Personengesellscha</w:t>
      </w:r>
      <w:r>
        <w:t>f</w:t>
      </w:r>
      <w:r>
        <w:t>ten, Gemeinschaftsunternehmen, Einzelunternehmen oder Verbände;</w:t>
      </w:r>
    </w:p>
    <w:p>
      <w:pPr>
        <w:pStyle w:val="Abstand18pt"/>
      </w:pPr>
    </w:p>
    <w:p>
      <w:pPr>
        <w:pStyle w:val="Abstand18pt"/>
      </w:pPr>
    </w:p>
    <w:p>
      <w:pPr>
        <w:pStyle w:val="Struktur1"/>
      </w:pPr>
      <w:r>
        <w:t>(l)</w:t>
        <w:tab/>
        <w:t>bedeutet der Begriff «juristische Person einer anderen Vertragspartei» eine juristische Person, die entweder:</w:t>
      </w:r>
    </w:p>
    <w:p>
      <w:pPr>
        <w:pStyle w:val="Struktur2"/>
      </w:pPr>
      <w:r>
        <w:t>(i)</w:t>
        <w:tab/>
        <w:t>nach dem Recht der betreffenden anderen Vertragspartei gegründet oder anderweitig errichtet ist und die im Hoheitsgebiet irgendeiner Ve</w:t>
      </w:r>
      <w:r>
        <w:t>r</w:t>
      </w:r>
      <w:r>
        <w:t>tragspartei in erheblichem Umfang Geschäfte tätigt</w:t>
      </w:r>
      <w:r>
        <w:rPr>
          <w:rStyle w:val="FootnoteReference"/>
          <w:noProof w:val="0"/>
          <w:lang w:val="de-CH" w:eastAsia="de-DE"/>
        </w:rPr>
        <w:footnoteReference w:id="21"/>
      </w:r>
      <w:r>
        <w:t>; darin eing</w:t>
      </w:r>
      <w:r>
        <w:t>e</w:t>
      </w:r>
      <w:r>
        <w:t>schlossen sind Dienstleistungserbringer eines WTO-Mitglieds, das ke</w:t>
      </w:r>
      <w:r>
        <w:t>i</w:t>
      </w:r>
      <w:r>
        <w:t>ne Vertragspartei ist, die nach dem Recht einer Vertragspartei gegründete juristische Personen sind, sofern diese in erheblichem U</w:t>
      </w:r>
      <w:r>
        <w:t>m</w:t>
      </w:r>
      <w:r>
        <w:t>fang G</w:t>
      </w:r>
      <w:r>
        <w:t>e</w:t>
      </w:r>
      <w:r>
        <w:t>schäfte im Hoheitsgebiet der Vertragsparteien tätigen; oder</w:t>
      </w:r>
    </w:p>
    <w:p>
      <w:pPr>
        <w:pStyle w:val="Struktur2"/>
      </w:pPr>
      <w:r>
        <w:t>(ii)</w:t>
        <w:tab/>
        <w:t>im Fall der Erbringung einer Dienstleistung durch gewerbliche Niede</w:t>
      </w:r>
      <w:r>
        <w:t>r</w:t>
      </w:r>
      <w:r>
        <w:t>lassung:</w:t>
      </w:r>
    </w:p>
    <w:p>
      <w:pPr>
        <w:pStyle w:val="Struktur3"/>
      </w:pPr>
      <w:r>
        <w:t>1.</w:t>
        <w:tab/>
        <w:t>im Eigentum natürlicher Personen der betreffenden Vertragspartei steht oder von ihnen beherrscht wird, oder</w:t>
      </w:r>
    </w:p>
    <w:p>
      <w:pPr>
        <w:pStyle w:val="Struktur3"/>
      </w:pPr>
      <w:r>
        <w:t>2.</w:t>
        <w:tab/>
        <w:t>im Eigentum juristischer Personen im Sinne von Buchstabe (l) Zi</w:t>
      </w:r>
      <w:r>
        <w:t>f</w:t>
      </w:r>
      <w:r>
        <w:t>fer i steht oder von ihnen beherrscht wird;</w:t>
      </w:r>
    </w:p>
    <w:p>
      <w:pPr>
        <w:pStyle w:val="Struktur1"/>
      </w:pPr>
      <w:r>
        <w:t>(m)</w:t>
        <w:tab/>
        <w:t>gilt von einer juristischen Person, dass sie:</w:t>
      </w:r>
    </w:p>
    <w:p>
      <w:pPr>
        <w:pStyle w:val="Struktur2"/>
      </w:pPr>
      <w:r>
        <w:t>(i)</w:t>
        <w:tab/>
        <w:t>«im Eigentum» von Personen einer Vertragspartei steht, wenn sich mehr als 50 Prozent ihres Eigenkapitals im wirtschaftlichen Eigentum von Personen der betreffenden Vertragspartei befinden;</w:t>
      </w:r>
    </w:p>
    <w:p>
      <w:pPr>
        <w:pStyle w:val="Struktur2"/>
      </w:pPr>
      <w:r>
        <w:t>(ii)</w:t>
        <w:tab/>
        <w:t>von Personen einer Vertragspartei «beherrscht» wird, wenn solche Pe</w:t>
      </w:r>
      <w:r>
        <w:t>r</w:t>
      </w:r>
      <w:r>
        <w:t>sonen befugt sind, die Mehrheit ihrer Geschäftsführer zu ernennen oder ihre Tätigkeit auf andere Weise rechtmässig zu bestimmen;</w:t>
      </w:r>
    </w:p>
    <w:p>
      <w:pPr>
        <w:pStyle w:val="Struktur2"/>
      </w:pPr>
      <w:r>
        <w:t>(iii)</w:t>
        <w:tab/>
        <w:t>mit einer anderen Person «verbunden» ist, wenn sie die betreffende a</w:t>
      </w:r>
      <w:r>
        <w:t>n</w:t>
      </w:r>
      <w:r>
        <w:t>dere Person beherrscht oder von ihr beherrscht wird oder wenn sie und die betreffende andere Person beide von derselben Person beherrscht werden;</w:t>
      </w:r>
    </w:p>
    <w:p>
      <w:pPr>
        <w:pStyle w:val="Struktur1"/>
      </w:pPr>
      <w:r>
        <w:t>(n)</w:t>
        <w:tab/>
        <w:t>bedeutet der Begriff «Dienstleistungserbringer mit Monopolstellung» eine öffentliche oder private Person, die auf dem betreffenden Markt des H</w:t>
      </w:r>
      <w:r>
        <w:t>o</w:t>
      </w:r>
      <w:r>
        <w:t>heitsgebiets einer Vertragspartei durch die betreffende Vertragspartei för</w:t>
      </w:r>
      <w:r>
        <w:t>m</w:t>
      </w:r>
      <w:r>
        <w:t>lich oder tatsächlich als alleiniger Erbringer der betreffenden Dienst</w:t>
      </w:r>
      <w:r>
        <w:softHyphen/>
        <w:t>leistung ermächtigt oder errichtet ist;</w:t>
      </w:r>
    </w:p>
    <w:p>
      <w:pPr>
        <w:pStyle w:val="Struktur1"/>
        <w:rPr>
          <w:sz w:val="20"/>
        </w:rPr>
      </w:pPr>
      <w:r>
        <w:t>(o)</w:t>
        <w:tab/>
        <w:t>bezeichnet der Ausdruck «Dienstleistungshandel» die Erbringung einer Dienst</w:t>
      </w:r>
      <w:r>
        <w:softHyphen/>
        <w:t>leistung:</w:t>
      </w:r>
    </w:p>
    <w:p>
      <w:pPr>
        <w:pStyle w:val="Struktur2"/>
      </w:pPr>
      <w:r>
        <w:t>(i)</w:t>
        <w:tab/>
        <w:t>aus dem Hoheitsgebiet einer Vertragspartei in das Hoheitsgebiet einer anderen Vertragspartei (nachstehend «grenzüberschreitende Dienstleis</w:t>
      </w:r>
      <w:r>
        <w:softHyphen/>
        <w:t>tungserbringung»);</w:t>
      </w:r>
    </w:p>
    <w:p>
      <w:pPr>
        <w:pStyle w:val="Struktur2"/>
        <w:rPr>
          <w:highlight w:val="magenta"/>
        </w:rPr>
      </w:pPr>
      <w:r>
        <w:t>(ii)</w:t>
        <w:tab/>
        <w:t>im Hoheitsgebiet einer Vertragspartei an den Dienstleistungsnutzer e</w:t>
      </w:r>
      <w:r>
        <w:t>i</w:t>
      </w:r>
      <w:r>
        <w:t>ner anderen Vertragspartei (nachstehend «Konsum im Ausland»);</w:t>
      </w:r>
    </w:p>
    <w:p>
      <w:pPr>
        <w:pStyle w:val="Struktur2"/>
      </w:pPr>
      <w:r>
        <w:t>(iii)</w:t>
        <w:tab/>
        <w:t>durch einen Dienstleistungserbringer einer Vertragspartei durch dessen gewerbliche Niederlassung im Hoheitsgebiet einer anderen Vertrag</w:t>
      </w:r>
      <w:r>
        <w:t>s</w:t>
      </w:r>
      <w:r>
        <w:t>partei (nachstehend «gewerbliche Niederlassung»);</w:t>
      </w:r>
    </w:p>
    <w:p>
      <w:pPr>
        <w:pStyle w:val="Struktur2"/>
      </w:pPr>
      <w:r>
        <w:t>(iv)</w:t>
        <w:tab/>
        <w:t>durch einen Dienstleistungserbringer einer Vertragspartei durch natür</w:t>
      </w:r>
      <w:r>
        <w:softHyphen/>
        <w:t>liche Personen einer Vertragspartei, die sich im Hoheitsgebiet einer a</w:t>
      </w:r>
      <w:r>
        <w:t>n</w:t>
      </w:r>
      <w:r>
        <w:t>deren Vertragspartei aufhalten (nachstehend «Aufenthalt natürlicher Personen»);</w:t>
      </w:r>
    </w:p>
    <w:p>
      <w:pPr>
        <w:pStyle w:val="Struktur1"/>
      </w:pPr>
      <w:r>
        <w:t>(p)</w:t>
        <w:tab/>
        <w:t>schliesst der Ausdruck «Dienstleistungen» jede Art von Dienstleistungen in jedem Sektor mit Ausnahme solcher Dienstleistungen ein, die in Ausübung hoheitlicher Gewalt erbracht werden;</w:t>
      </w:r>
    </w:p>
    <w:p>
      <w:pPr>
        <w:pStyle w:val="Struktur1"/>
      </w:pPr>
      <w:r>
        <w:t>(q)</w:t>
        <w:tab/>
        <w:t>bedeutet der Begriff «in Ausübung hoheitlicher Gewalt erbrachte Dienstleis</w:t>
      </w:r>
      <w:r>
        <w:softHyphen/>
        <w:t>tung» jede Art von Dienstleistung, die weder zu gewerblichen Zwecken noch im Wettbewerb mit einem oder mehreren Dienstleistungserbringern e</w:t>
      </w:r>
      <w:r>
        <w:t>r</w:t>
      </w:r>
      <w:r>
        <w:t>bracht wird;</w:t>
      </w:r>
    </w:p>
    <w:p>
      <w:pPr>
        <w:pStyle w:val="Struktur1"/>
        <w:rPr>
          <w:snapToGrid w:val="0"/>
        </w:rPr>
      </w:pPr>
      <w:r>
        <w:t>(r)</w:t>
        <w:tab/>
        <w:t>umfasst der Begriff «direkte Steuern» alle Steuern auf dem Gesamteinko</w:t>
      </w:r>
      <w:r>
        <w:t>m</w:t>
      </w:r>
      <w:r>
        <w:t>men, auf dem Gesamtkapital oder auf Teilen des Einkommens oder des K</w:t>
      </w:r>
      <w:r>
        <w:t>a</w:t>
      </w:r>
      <w:r>
        <w:t>pitals einschliesslich Steuern auf Gewinnen aus der Veräusserung von Ve</w:t>
      </w:r>
      <w:r>
        <w:t>r</w:t>
      </w:r>
      <w:r>
        <w:t>mögen, Steuern auf Immobilienvermögen, Erbschaften und Schenkungen, Steuern auf der von Unternehmen gezahlten Gesamtlohn- oder Gesamt</w:t>
      </w:r>
      <w:r>
        <w:softHyphen/>
        <w:t>gehaltssumme sowie Steuern auf Wertsteigerungen des Kapitals.</w:t>
      </w:r>
    </w:p>
    <w:p>
      <w:pPr>
        <w:pStyle w:val="Heading9"/>
      </w:pPr>
      <w:r>
        <w:rPr>
          <w:b/>
          <w:bCs/>
        </w:rPr>
        <w:t>Art. 23</w:t>
      </w:r>
      <w:r>
        <w:tab/>
        <w:t>Meistbegünstigung</w:t>
      </w:r>
    </w:p>
    <w:p>
      <w:pPr>
        <w:pStyle w:val="Absatz"/>
      </w:pPr>
      <w:r>
        <w:t>1.  Abgesehen von den Ausnahmen, die sich aus Abkommen einer Vertragspartei mit einem Drittstaat über die Harmonisierung von Vorschriften ergeben, welche die gegenseitige Anerkennung von Vorschriften gemäss Artikel VII GATS zum G</w:t>
      </w:r>
      <w:r>
        <w:t>e</w:t>
      </w:r>
      <w:r>
        <w:t>genstand haben, und vorbehaltlich der Bestimmungen in Anhang VI, gewährt eine Ve</w:t>
      </w:r>
      <w:r>
        <w:t>r</w:t>
      </w:r>
      <w:r>
        <w:t>tragspartei hinsichtlich aller Massnahmen, die unter dieses Kapitel fallen, den Dienstleistungen und Dienstleistungserbringern einer anderen Vertragspartei unve</w:t>
      </w:r>
      <w:r>
        <w:t>r</w:t>
      </w:r>
      <w:r>
        <w:t>züglich und bedingungslos eine Behandlung, die nicht weniger günstig ist als die, die sie den gleichen Dienstleistungen oder Dienstleistungserbringern eines anderen Drittstaates gewährt.</w:t>
      </w:r>
    </w:p>
    <w:p>
      <w:pPr>
        <w:pStyle w:val="Absatz"/>
        <w:rPr>
          <w:snapToGrid w:val="0"/>
        </w:rPr>
      </w:pPr>
      <w:r>
        <w:t>2.  </w:t>
      </w:r>
      <w:r>
        <w:rPr>
          <w:snapToGrid w:val="0"/>
        </w:rPr>
        <w:t>D</w:t>
      </w:r>
      <w:r>
        <w:rPr>
          <w:color w:val="000000"/>
        </w:rPr>
        <w:t>ie Gewährung von Vorteilen, die im Rahmen anderer zwischen einer Vertrag</w:t>
      </w:r>
      <w:r>
        <w:rPr>
          <w:color w:val="000000"/>
        </w:rPr>
        <w:t>s</w:t>
      </w:r>
      <w:r>
        <w:rPr>
          <w:color w:val="000000"/>
        </w:rPr>
        <w:t>partei und einem Drittstaat abgeschlossener Abkommen, welche nach Artikel V GATS notifiziert worden sind, fällt nicht unter Absatz 1.</w:t>
      </w:r>
    </w:p>
    <w:p>
      <w:pPr>
        <w:pStyle w:val="Absatz"/>
        <w:rPr>
          <w:color w:val="000000"/>
        </w:rPr>
      </w:pPr>
      <w:r>
        <w:t>3.  </w:t>
      </w:r>
      <w:r>
        <w:rPr>
          <w:color w:val="000000"/>
        </w:rPr>
        <w:t>Eine Vertragspartei, die ein Abkommen gemäss Absatz 2 eingeht, räumt den a</w:t>
      </w:r>
      <w:r>
        <w:rPr>
          <w:color w:val="000000"/>
        </w:rPr>
        <w:t>n</w:t>
      </w:r>
      <w:r>
        <w:rPr>
          <w:color w:val="000000"/>
        </w:rPr>
        <w:t>deren Vertragsparteien auf deren Wunsch angemessene Gelegenheit ein, um über die darin gewährten Vorteile zu verhandeln.</w:t>
      </w:r>
    </w:p>
    <w:p>
      <w:pPr>
        <w:pStyle w:val="Heading9"/>
      </w:pPr>
      <w:r>
        <w:rPr>
          <w:b/>
          <w:bCs/>
        </w:rPr>
        <w:t>Art. 24</w:t>
      </w:r>
      <w:r>
        <w:tab/>
        <w:t>Marktzugang</w:t>
      </w:r>
    </w:p>
    <w:p>
      <w:pPr>
        <w:pStyle w:val="Absatz"/>
      </w:pPr>
      <w:r>
        <w:t>1.  Hinsichtlich des Marktzugangs durch die in Artikel 22 Buchstabe (o) definierten Erbringungsarten gewährt jede Vertragspartei den Dienstleistungen und Dienst</w:t>
      </w:r>
      <w:r>
        <w:softHyphen/>
        <w:t xml:space="preserve">leistungserbringern einer anderen Vertragspartei eine nicht weniger günstige </w:t>
        <w:br/>
        <w:br/>
        <w:br/>
        <w:br/>
        <w:t>Behan</w:t>
      </w:r>
      <w:r>
        <w:t>d</w:t>
      </w:r>
      <w:r>
        <w:t>lung als die, die nach den in ihrer Liste</w:t>
      </w:r>
      <w:r>
        <w:rPr>
          <w:sz w:val="13"/>
          <w:szCs w:val="13"/>
        </w:rPr>
        <w:t xml:space="preserve"> </w:t>
      </w:r>
      <w:r>
        <w:t>vereinbarten und festgelegten Bestimmu</w:t>
      </w:r>
      <w:r>
        <w:t>n</w:t>
      </w:r>
      <w:r>
        <w:t>gen, Beschränkungen und Bedingungen vorgesehen ist.</w:t>
      </w:r>
      <w:r>
        <w:rPr>
          <w:rStyle w:val="FootnoteReference"/>
          <w:noProof w:val="0"/>
          <w:lang w:val="de-CH" w:eastAsia="de-DE"/>
        </w:rPr>
        <w:footnoteReference w:id="22"/>
      </w:r>
    </w:p>
    <w:p>
      <w:pPr>
        <w:pStyle w:val="Absatz"/>
      </w:pPr>
      <w:r>
        <w:t>2.  In Sektoren, in denen Marktzugangsverpflichtungen übernommen werden, we</w:t>
      </w:r>
      <w:r>
        <w:t>r</w:t>
      </w:r>
      <w:r>
        <w:t>den die Massnahmen, die eine Vertragspartei weder regional noch für ihr gesamtes Hoheitsgebiet aufrechterhalten oder einführen darf, sofern in ihrer Liste nichts and</w:t>
      </w:r>
      <w:r>
        <w:t>e</w:t>
      </w:r>
      <w:r>
        <w:t>res festgelegt ist, wie folgt definiert:</w:t>
      </w:r>
    </w:p>
    <w:p>
      <w:pPr>
        <w:pStyle w:val="Struktur1"/>
      </w:pPr>
      <w:r>
        <w:t>(a)</w:t>
        <w:tab/>
        <w:t>Beschränkungen der Anzahl Dienstleistungserbringer durch zahlenmässige Quoten, Monopole oder Dienstleistungserbringer mit ausschliesslichen Rechten oder durch eine vorgeschriebene wirtschaftliche Bedarfsprüfung;</w:t>
      </w:r>
    </w:p>
    <w:p>
      <w:pPr>
        <w:pStyle w:val="Struktur1"/>
      </w:pPr>
      <w:r>
        <w:t>(b)</w:t>
        <w:tab/>
        <w:t>Beschränkungen des Gesamtwertes der Dienstleistungsgeschäfte oder des Betriebsvermögens durch zahlenmässige Quoten oder durch eine vorg</w:t>
      </w:r>
      <w:r>
        <w:t>e</w:t>
      </w:r>
      <w:r>
        <w:t>schriebene wirtschaftliche Bedarfsprüfung;</w:t>
      </w:r>
    </w:p>
    <w:p>
      <w:pPr>
        <w:pStyle w:val="Struktur1"/>
      </w:pPr>
      <w:r>
        <w:t>(c)</w:t>
        <w:tab/>
        <w:t>Beschränkungen der Gesamtzahl der Dienstleistungen oder des Gesamt</w:t>
      </w:r>
      <w:r>
        <w:softHyphen/>
        <w:t>volumens erbrachter Dienstleistungen durch die Festsetzung bestimmter za</w:t>
      </w:r>
      <w:r>
        <w:t>h</w:t>
      </w:r>
      <w:r>
        <w:t>lenmässiger Einheiten in Form von Quoten oder durch eine vorgeschriebene wirtschaftliche Bedarfsprüfung;</w:t>
      </w:r>
      <w:r>
        <w:rPr>
          <w:rStyle w:val="FootnoteReference"/>
          <w:noProof w:val="0"/>
          <w:lang w:val="de-CH" w:eastAsia="de-DE"/>
        </w:rPr>
        <w:footnoteReference w:id="23"/>
      </w:r>
    </w:p>
    <w:p>
      <w:pPr>
        <w:pStyle w:val="Struktur1"/>
      </w:pPr>
      <w:r>
        <w:t>(d)</w:t>
        <w:tab/>
        <w:t>Beschränkungen der Gesamtzahl natürlicher Personen, die in einem b</w:t>
      </w:r>
      <w:r>
        <w:t>e</w:t>
      </w:r>
      <w:r>
        <w:t>stimm</w:t>
      </w:r>
      <w:r>
        <w:softHyphen/>
      </w:r>
      <w:r>
        <w:softHyphen/>
        <w:t>ten Dienstleistungssektor beschäftigt werden dürfen oder die ein Dienstleistungserbringer beschäftigen darf und die zur Erbringung einer b</w:t>
      </w:r>
      <w:r>
        <w:t>e</w:t>
      </w:r>
      <w:r>
        <w:t>stimmten Dienstleistung erforderlich sind und in direktem Zusammenhang damit stehen, durch zahlenmässige Quoten oder durch eine vorgeschriebene wirtschaftliche Bedarfsprüfung;</w:t>
      </w:r>
    </w:p>
    <w:p>
      <w:pPr>
        <w:pStyle w:val="Struktur1"/>
      </w:pPr>
      <w:r>
        <w:t>(e)</w:t>
        <w:tab/>
        <w:t>Massnahmen, die eine bestimmte Rechtsform oder Form eines Gemei</w:t>
      </w:r>
      <w:r>
        <w:t>n</w:t>
      </w:r>
      <w:r>
        <w:t>schaftsunternehmens vorschreiben, durch die ein Dienstleistungserbringer eine Dienstleistung erbringen darf; und</w:t>
      </w:r>
    </w:p>
    <w:p>
      <w:pPr>
        <w:pStyle w:val="Struktur1"/>
      </w:pPr>
      <w:r>
        <w:t>(f)</w:t>
        <w:tab/>
        <w:t>Beschränkungen der Beteiligung ausländischen Kapitals durch Festsetzung einer prozentualen Höchstgrenze für die ausländische Beteiligung oder für den Gesamtwert einzelner oder zusammengefasster ausländischer Investiti</w:t>
      </w:r>
      <w:r>
        <w:t>o</w:t>
      </w:r>
      <w:r>
        <w:t>nen.</w:t>
      </w:r>
    </w:p>
    <w:p>
      <w:pPr>
        <w:pStyle w:val="Heading9"/>
      </w:pPr>
      <w:r>
        <w:rPr>
          <w:b/>
          <w:bCs/>
        </w:rPr>
        <w:t>Art. 25</w:t>
      </w:r>
      <w:r>
        <w:tab/>
        <w:t>Inländerbehandlung</w:t>
      </w:r>
    </w:p>
    <w:p>
      <w:pPr>
        <w:pStyle w:val="Absatz"/>
      </w:pPr>
      <w:r>
        <w:t>1.  In den in ihrer Liste aufgeführten Sektoren gewährt jede Vertragspartei unter den darin festgelegten Bedingungen und Vorbehalten den Dienstleistungen und Diens</w:t>
      </w:r>
      <w:r>
        <w:t>t</w:t>
      </w:r>
      <w:r>
        <w:t>leistungserbringern einer anderen Vertragspartei hinsichtlich aller Massnahmen, welche die Erbringung von Dienstleistungen betreffen, eine Behandlung, die nicht weniger günstig ist als die, die sie ihren eigenen gleichen Dienstleistungen und Dienstleistungserbringern gewährt</w:t>
      </w:r>
      <w:r>
        <w:rPr>
          <w:rStyle w:val="FootnoteReference"/>
          <w:noProof w:val="0"/>
          <w:lang w:val="de-CH" w:eastAsia="de-DE"/>
        </w:rPr>
        <w:footnoteReference w:id="24"/>
      </w:r>
      <w:r>
        <w:t>.</w:t>
      </w:r>
    </w:p>
    <w:p>
      <w:pPr>
        <w:pStyle w:val="Absatz"/>
      </w:pPr>
      <w:r>
        <w:t>2.  Eine Vertragspartei kann das Erfordernis von Absatz 1 dadurch erfüllen, dass sie Dienstleistungen und Dienstleistungserbringern einer anderen Vertragspartei eine Behandlung gewährt, die mit derjenigen, welche sie ihren eigenen gleichen Diens</w:t>
      </w:r>
      <w:r>
        <w:t>t</w:t>
      </w:r>
      <w:r>
        <w:t>leistungen und Dienstleistungserbringern gewährt, entweder formal identisch oder formal unterschiedlich ist.</w:t>
      </w:r>
    </w:p>
    <w:p>
      <w:pPr>
        <w:pStyle w:val="Absatz"/>
      </w:pPr>
      <w:r>
        <w:t>3.  Eine formal identische oder formal unterschiedliche Behandlung gilt dann als weniger günstig, wenn sie die Wettbewerbsbedingungen zugunsten von Dienst</w:t>
      </w:r>
      <w:r>
        <w:softHyphen/>
        <w:t>leistungen und Dienstleistungserbringern einer Vertragspartei gegenüber gleichen Dienst</w:t>
      </w:r>
      <w:r>
        <w:softHyphen/>
        <w:t>leistungen und Dienstleistungserbringern einer anderen Vertragspartei verä</w:t>
      </w:r>
      <w:r>
        <w:t>n</w:t>
      </w:r>
      <w:r>
        <w:t>dert.</w:t>
      </w:r>
    </w:p>
    <w:p>
      <w:pPr>
        <w:pStyle w:val="Heading9"/>
      </w:pPr>
      <w:r>
        <w:rPr>
          <w:b/>
          <w:bCs/>
        </w:rPr>
        <w:t>Art. 26</w:t>
      </w:r>
      <w:r>
        <w:tab/>
        <w:t>Zusätzliche Verpflichtungen</w:t>
      </w:r>
    </w:p>
    <w:p>
      <w:pPr>
        <w:pStyle w:val="Absatz"/>
      </w:pPr>
      <w:r>
        <w:t>Die Vertragsparteien können in Bezug auf Massnahmen, die den Dienstleistung</w:t>
      </w:r>
      <w:r>
        <w:t>s</w:t>
      </w:r>
      <w:r>
        <w:t>verkehr betreffen und nicht nach Artikel 24 oder 25 in den Listen aufzuführen sind, Verpflichtungen aushandeln, einschliesslich in Bezug auf Massnahmen betreffend Qualifikations-, Normen- oder Zulassungsfragen. Solche Verpflichtungen werden in die Liste der betreffenden Vertragspartei aufgenommen.</w:t>
      </w:r>
    </w:p>
    <w:p>
      <w:pPr>
        <w:pStyle w:val="Heading9"/>
      </w:pPr>
      <w:r>
        <w:rPr>
          <w:b/>
          <w:bCs/>
        </w:rPr>
        <w:t>Art. 27</w:t>
      </w:r>
      <w:r>
        <w:tab/>
        <w:t>Handelsliberalisierung/Listen der besonderen Verpflichtungen</w:t>
      </w:r>
    </w:p>
    <w:p>
      <w:pPr>
        <w:pStyle w:val="Absatz"/>
      </w:pPr>
      <w:r>
        <w:t xml:space="preserve">1.  Die Vertragsparteien werden ihren gegenseitigen Dienstleistungsverkehr in </w:t>
      </w:r>
      <w:r>
        <w:t>Ü</w:t>
      </w:r>
      <w:r>
        <w:t>bereinstimmung mit Artikel V GATS liberalisieren.</w:t>
      </w:r>
    </w:p>
    <w:p>
      <w:pPr>
        <w:pStyle w:val="Absatz"/>
      </w:pPr>
      <w:r>
        <w:t>2.  Jede Vertragspartei legt in einer Liste die besonderen Verpflichtungen fest, die sie nach den Artikeln 24–26 übernimmt. Jede Liste enthält für die Sektoren, für die derartige Verpflichtungen übernommen werden, folgende Angaben:</w:t>
      </w:r>
    </w:p>
    <w:p>
      <w:pPr>
        <w:pStyle w:val="Struktur1"/>
      </w:pPr>
      <w:r>
        <w:t>(a)</w:t>
        <w:tab/>
        <w:t>Bestimmungen, Beschränkungen und Bedingungen für den Marktzugang;</w:t>
      </w:r>
    </w:p>
    <w:p>
      <w:pPr>
        <w:pStyle w:val="Struktur1"/>
      </w:pPr>
      <w:r>
        <w:t>(b)</w:t>
        <w:tab/>
        <w:t>Bedingungen und Anforderungen für die Inländerbehandlung;</w:t>
      </w:r>
    </w:p>
    <w:p>
      <w:pPr>
        <w:pStyle w:val="Struktur1"/>
      </w:pPr>
      <w:r>
        <w:t>(c)</w:t>
        <w:tab/>
        <w:t>Zusagen hinsichtlich zusätzlicher Verpflichtungen; und</w:t>
      </w:r>
    </w:p>
    <w:p>
      <w:pPr>
        <w:pStyle w:val="Struktur1"/>
      </w:pPr>
      <w:r>
        <w:t>(d)</w:t>
        <w:tab/>
        <w:t>gegebenenfalls den Zeitrahmen für die Durchführung derartiger Verpflic</w:t>
      </w:r>
      <w:r>
        <w:t>h</w:t>
      </w:r>
      <w:r>
        <w:t>tungen.</w:t>
      </w:r>
    </w:p>
    <w:p>
      <w:pPr>
        <w:pStyle w:val="Absatz"/>
        <w:rPr>
          <w:sz w:val="20"/>
        </w:rPr>
      </w:pPr>
      <w:r>
        <w:t>3.  Massnahmen, die sowohl mit Artikel 24 als auch mit Artikel 25 unvereinbar sind, werden in die für Artikel 24 vorgesehene Spalte eingetragen. In diesem Fall gilt die Eintragung als Bedingung oder Anforderung auch in Bezug auf Artikel 25.</w:t>
      </w:r>
    </w:p>
    <w:p>
      <w:pPr>
        <w:pStyle w:val="Absatz"/>
      </w:pPr>
      <w:r>
        <w:t>4.  Die Listen der besonderen Verpflichtungen werden in Anhang VII beigefügt und sind Bestandteil dieses Kapitels.</w:t>
      </w:r>
    </w:p>
    <w:p>
      <w:pPr>
        <w:pStyle w:val="Absatz"/>
      </w:pPr>
      <w:r>
        <w:t>5.  Die Vertragsparteien überprüfen ihre Listen der besonderen Verpflichtungen mindestens alle zwei Jahre, oder nach gemeinsamer Absprache auch früher, im Hi</w:t>
      </w:r>
      <w:r>
        <w:t>n</w:t>
      </w:r>
      <w:r>
        <w:t>blick auf die Beseitigung nach Ablauf einer Übergangsfrist von 10 Jahren ab Inkraf</w:t>
      </w:r>
      <w:r>
        <w:t>t</w:t>
      </w:r>
      <w:r>
        <w:t xml:space="preserve">treten dieses Abkommens praktisch aller verbleibenden Diskriminierungen zwischen den Vertragsparteien in Bezug auf den unter dieses Kapitel fallenden Handel mit Dienstleistungen. Diese Überprüfung ist weiterzuführen, wenn am Ende dieser </w:t>
      </w:r>
      <w:r>
        <w:t>Ü</w:t>
      </w:r>
      <w:r>
        <w:t>bergangsfrist nicht praktisch alle verbleibenden Diskriminierungen beseitigt worden sind. Dieser Absatz unterliegt nicht der Streitbeilegung nach Kapitel IX.</w:t>
      </w:r>
    </w:p>
    <w:p>
      <w:pPr>
        <w:pStyle w:val="Heading9"/>
      </w:pPr>
      <w:r>
        <w:rPr>
          <w:b/>
          <w:bCs/>
        </w:rPr>
        <w:t>Art. 28</w:t>
      </w:r>
      <w:r>
        <w:tab/>
        <w:t>Innerstaatliche Regelungen</w:t>
      </w:r>
    </w:p>
    <w:p>
      <w:pPr>
        <w:pStyle w:val="Absatz"/>
      </w:pPr>
      <w:r>
        <w:t>1.  In Sektoren, in denen spezifische Verpflichtungen eingegangen werden, stellen die Vertragsparteien sicher, dass alle allgemein geltenden Massnahmen, die den Dienst</w:t>
      </w:r>
      <w:r>
        <w:softHyphen/>
        <w:t>leistungshandel betreffen, angemessen, objektiv und unparteiisch angewendet werden.</w:t>
      </w:r>
    </w:p>
    <w:p>
      <w:pPr>
        <w:pStyle w:val="Absatz"/>
      </w:pPr>
      <w:r>
        <w:t>2.  Jede Vertragspartei behält Gerichte, Schiedsgerichte, Verwaltungsgerichte oder entsprechende Verfahren bei oder führt solche so bald wie möglich ein, die auf A</w:t>
      </w:r>
      <w:r>
        <w:t>n</w:t>
      </w:r>
      <w:r>
        <w:t>trag eines betroffenen Dienstleistungserbringers einer anderen Vertragspartei die umgehende Überprüfung von Verwaltungsentscheiden mit Auswirkungen auf den Dienstleistungshandel gewährleisten oder in begründeten Fällen geeignete Abhilf</w:t>
      </w:r>
      <w:r>
        <w:t>e</w:t>
      </w:r>
      <w:r>
        <w:t>massnahmen treffen. Können solche Verfahren nicht unabhängig von der Behörde durchgeführt werden, die für den Verwaltungsentscheid zuständig ist, so trägt die Vertragspartei Sorge dafür, dass die Verfahren tatsächlich eine objektive und unpa</w:t>
      </w:r>
      <w:r>
        <w:t>r</w:t>
      </w:r>
      <w:r>
        <w:t>teiische Überprüfung gewährleisten.</w:t>
      </w:r>
    </w:p>
    <w:p>
      <w:pPr>
        <w:pStyle w:val="Absatz"/>
      </w:pPr>
      <w:r>
        <w:t>3.  Ist die Erbringung einer Dienstleistung, für die eine spezifische Verpflichtung übernommen wurde, bewilligungspflichtig, so geben die zuständigen Behörden e</w:t>
      </w:r>
      <w:r>
        <w:t>i</w:t>
      </w:r>
      <w:r>
        <w:t>ner Vertragspartei unverzüglich nach der Eingabe eines nach den innerstaatlichen Rechtsvorschriften als vollständig zu betrachtenden Antrags auf Bewilligung dem Antragsteller den Entscheid über den Antrag bekannt. Auf Antrag des Antragstellers geben die zuständigen Behörden der Vertragspartei diesem ohne unangemessenen Verzug Auskunft über den Stand der Bearbeitung des Antrags.</w:t>
      </w:r>
    </w:p>
    <w:p>
      <w:pPr>
        <w:pStyle w:val="Absatz"/>
      </w:pPr>
      <w:r>
        <w:t>4.  Die Vertragsparteien überprüfen gemeinsam die Ergebnisse der Verhandlungen gemäss Artikel VI Absatz 4 GATS über Disziplinen für bestimmte Regelungen, einschliesslich der Befähigungserfordernisse und -verfahren, der technischen No</w:t>
      </w:r>
      <w:r>
        <w:t>r</w:t>
      </w:r>
      <w:r>
        <w:t>men und der Zulassungserfordernisse, um diese in dieses Abkommen aufzunehmen. Di</w:t>
      </w:r>
      <w:r>
        <w:t>e</w:t>
      </w:r>
      <w:r>
        <w:t>se Disziplinen sollen sicherstellen, dass solche Erfordernisse unter anderem:</w:t>
      </w:r>
    </w:p>
    <w:p>
      <w:pPr>
        <w:pStyle w:val="Struktur1"/>
      </w:pPr>
      <w:r>
        <w:t>(a)</w:t>
        <w:tab/>
        <w:t>auf objektiven und transparenten Kriterien wie der Fachkenntnis und Fähi</w:t>
      </w:r>
      <w:r>
        <w:t>g</w:t>
      </w:r>
      <w:r>
        <w:t>keit zur Erbringung der Dienstleistung beruhen;</w:t>
      </w:r>
    </w:p>
    <w:p>
      <w:pPr>
        <w:pStyle w:val="Struktur1"/>
      </w:pPr>
      <w:r>
        <w:t>(b)</w:t>
        <w:tab/>
        <w:t>nicht belastender sind, als es zur Sicherstellung der Qualität der Dienstleis</w:t>
      </w:r>
      <w:r>
        <w:softHyphen/>
        <w:t>tung erforderlich ist;</w:t>
      </w:r>
    </w:p>
    <w:p>
      <w:pPr>
        <w:pStyle w:val="Struktur1"/>
      </w:pPr>
      <w:r>
        <w:t>(c)</w:t>
        <w:tab/>
        <w:t>im Fall von Zulassungsverfahren nicht als solche die Erbringung der Diens</w:t>
      </w:r>
      <w:r>
        <w:t>t</w:t>
      </w:r>
      <w:r>
        <w:t>leistung beschränken.</w:t>
      </w:r>
    </w:p>
    <w:p>
      <w:pPr>
        <w:pStyle w:val="Absatz"/>
      </w:pPr>
      <w:r>
        <w:t>5.  In Sektoren, in denen eine Vertragspartei besondere Verpflichtungen eingega</w:t>
      </w:r>
      <w:r>
        <w:t>n</w:t>
      </w:r>
      <w:r>
        <w:t>gen ist, wendet die Vertragspartei vorbehaltlich der dort genannten Bestimmungen, Beschränkungen, Bedingungen und Anforderungen bis zum Inkrafttreten der für diese Sektoren nach Absatz 4 erarbeiteten Disziplinen keine Zulassungs- und Bef</w:t>
      </w:r>
      <w:r>
        <w:t>ä</w:t>
      </w:r>
      <w:r>
        <w:t>higungserfordernisse oder technischen Normen an, welche die besonderen Ve</w:t>
      </w:r>
      <w:r>
        <w:t>r</w:t>
      </w:r>
      <w:r>
        <w:t>pflichtungen in einer Weise zunichte machen oder schmälern, die:</w:t>
      </w:r>
    </w:p>
    <w:p>
      <w:pPr>
        <w:pStyle w:val="Struktur1"/>
      </w:pPr>
      <w:r>
        <w:t>(a)</w:t>
        <w:tab/>
        <w:t>mit den in Absatz 4 Buchstabe (a), (b) oder (c) genannten Kriterien nicht vereinbar ist, und</w:t>
      </w:r>
    </w:p>
    <w:p>
      <w:pPr>
        <w:pStyle w:val="Struktur1"/>
      </w:pPr>
      <w:r>
        <w:t>(b)</w:t>
        <w:tab/>
        <w:t>zu dem Zeitpunkt, zu dem die besonderen Verpflichtungen in diesen Sekt</w:t>
      </w:r>
      <w:r>
        <w:t>o</w:t>
      </w:r>
      <w:r>
        <w:t>ren eingegangen wurden, von der Vertragspartei vernünftigerweise nicht e</w:t>
      </w:r>
      <w:r>
        <w:t>r</w:t>
      </w:r>
      <w:r>
        <w:t>wartet werden konnte.</w:t>
      </w:r>
    </w:p>
    <w:p>
      <w:pPr>
        <w:pStyle w:val="Absatz"/>
      </w:pPr>
      <w:r>
        <w:t>6.  Immer wenn eine innerstaatliche Regelung gemäss den von einer Vertragspartei angewendeten internationalen Normen entsprechender internationaler Organisati</w:t>
      </w:r>
      <w:r>
        <w:t>o</w:t>
      </w:r>
      <w:r>
        <w:t>nen</w:t>
      </w:r>
      <w:r>
        <w:rPr>
          <w:rStyle w:val="FootnoteReference"/>
          <w:noProof w:val="0"/>
          <w:lang w:val="de-CH" w:eastAsia="de-DE"/>
        </w:rPr>
        <w:footnoteReference w:id="25"/>
      </w:r>
      <w:r>
        <w:t xml:space="preserve"> vorbereitet, verabschiedet und angewendet wird, ist im Sinne einer widerleg</w:t>
      </w:r>
      <w:r>
        <w:softHyphen/>
        <w:t>baren Vermutung davon auszugehen, dass diese Regelung mit den Bestimmungen dieses Artikels vereinbar ist.</w:t>
      </w:r>
    </w:p>
    <w:p>
      <w:pPr>
        <w:pStyle w:val="Absatz"/>
      </w:pPr>
      <w:r>
        <w:t>7.  In Sektoren, in denen besondere Verpflichtungen für Dienstleistungen freier Berufe eingegangen werden, sieht jede Vertragspartei angemessene Verfahren zur Überprüfung der Fachkenntnisse von Angehörigen freier Berufe der anderen Ve</w:t>
      </w:r>
      <w:r>
        <w:t>r</w:t>
      </w:r>
      <w:r>
        <w:t>tragsparteien vor.</w:t>
      </w:r>
    </w:p>
    <w:p>
      <w:pPr>
        <w:pStyle w:val="Heading9"/>
      </w:pPr>
      <w:r>
        <w:rPr>
          <w:b/>
          <w:bCs/>
        </w:rPr>
        <w:t>Art. 29</w:t>
      </w:r>
      <w:r>
        <w:tab/>
        <w:t>Subventionen</w:t>
      </w:r>
    </w:p>
    <w:p>
      <w:pPr>
        <w:pStyle w:val="Absatz"/>
        <w:rPr>
          <w:color w:val="000000"/>
        </w:rPr>
      </w:pPr>
      <w:r>
        <w:t>Eine Vertragspartei, die sich durch eine Subvention einer anderen Vertragspartei b</w:t>
      </w:r>
      <w:r>
        <w:t>e</w:t>
      </w:r>
      <w:r>
        <w:t>einträchtigt sieht, kann diese Vertragspartei um Konsultationen über diese Fragen ersuchen. Ein solches Gesuch wird wohlwollend geprüft.</w:t>
      </w:r>
    </w:p>
    <w:p>
      <w:pPr>
        <w:pStyle w:val="Heading9"/>
      </w:pPr>
      <w:r>
        <w:rPr>
          <w:b/>
          <w:bCs/>
        </w:rPr>
        <w:t>Art. 30</w:t>
      </w:r>
      <w:r>
        <w:tab/>
        <w:t>Gegenseitige Anerkennung</w:t>
      </w:r>
    </w:p>
    <w:p>
      <w:pPr>
        <w:pStyle w:val="Absatz"/>
      </w:pPr>
      <w:r>
        <w:t>1.  Der Gemischte Ausschuss trifft im Prinzip nicht später als drei Jahre nach I</w:t>
      </w:r>
      <w:r>
        <w:t>n</w:t>
      </w:r>
      <w:r>
        <w:t>krafttreten dieses Abkommens die nötigen Schritte zur Aushandlung von Abko</w:t>
      </w:r>
      <w:r>
        <w:t>m</w:t>
      </w:r>
      <w:r>
        <w:t>men oder Vereinbarungen über die gegenseitige Anerkennung der Ausbildung oder Berufserfahrung sowie von Erfordernissen, Qualifikationen, Bewilligungen und a</w:t>
      </w:r>
      <w:r>
        <w:t>n</w:t>
      </w:r>
      <w:r>
        <w:t>deren Vorschriften zur ganzen oder teilweisen Erfüllung durch die Dienstleis</w:t>
      </w:r>
      <w:r>
        <w:softHyphen/>
        <w:t>tungserbringer der von der jeweiligen Vertragspartei gestellten Anforderungen für die Zulassungsbewilligung, Tätigkeit und Zertifizierung von Dienstleistungserbri</w:t>
      </w:r>
      <w:r>
        <w:t>n</w:t>
      </w:r>
      <w:r>
        <w:t>gern.</w:t>
      </w:r>
    </w:p>
    <w:p>
      <w:pPr>
        <w:pStyle w:val="Absatz"/>
      </w:pPr>
      <w:r>
        <w:t>2.  Jede derartige Anerkennung durch eine Vertragspartei muss mit den massgeb</w:t>
      </w:r>
      <w:r>
        <w:softHyphen/>
        <w:t>l</w:t>
      </w:r>
      <w:r>
        <w:t>i</w:t>
      </w:r>
      <w:r>
        <w:t>chen Bestimmungen der WTO und insbesondere mit Artikel VII GATS vereinbar sein.</w:t>
      </w:r>
    </w:p>
    <w:p>
      <w:pPr>
        <w:pStyle w:val="Absatz"/>
      </w:pPr>
      <w:r>
        <w:t>3.  Anerkennt eine Vertragspartei durch ein Abkommen oder eine Vereinbarung die Ausbildung oder Berufserfahrung oder die Erfüllung von Anforderungen, Zulassu</w:t>
      </w:r>
      <w:r>
        <w:t>n</w:t>
      </w:r>
      <w:r>
        <w:t>gen oder Bescheinigungen, die im Hoheitsgebiet einer Nicht-Vertragspartei erwo</w:t>
      </w:r>
      <w:r>
        <w:t>r</w:t>
      </w:r>
      <w:r>
        <w:t>ben bzw. ausgestellt worden sind, so gibt die betreffende Vertragspartei den anderen interessierten Vertragsparteien angemessene Gelegenheit, über den Beitritt zu einem solchen Abkommen oder einer solchen Vereinbarung zu verhandeln oder ähnliche mit ihr auszuhandeln. Sofern eine Vertragspartei eine Anerkennung einseitig g</w:t>
      </w:r>
      <w:r>
        <w:t>e</w:t>
      </w:r>
      <w:r>
        <w:t>währt, gibt sie jeder anderen Vertragspartei angemessene Gelegenheit, den Nac</w:t>
      </w:r>
      <w:r>
        <w:t>h</w:t>
      </w:r>
      <w:r>
        <w:t>weis zu erbringen, dass die Ausbildung, Berufserfahrung, Erfüllung von Anford</w:t>
      </w:r>
      <w:r>
        <w:t>e</w:t>
      </w:r>
      <w:r>
        <w:t>rungen, Zulassungen oder Bescheinigungen, die im Hoheitsgebiet der anderen Ve</w:t>
      </w:r>
      <w:r>
        <w:t>r</w:t>
      </w:r>
      <w:r>
        <w:t>tragspartei erworben oder ausgestellt worden sind, ebenfalls anzuerkennen sind.</w:t>
      </w:r>
    </w:p>
    <w:p>
      <w:pPr>
        <w:pStyle w:val="Heading9"/>
      </w:pPr>
      <w:r>
        <w:rPr>
          <w:b/>
          <w:bCs/>
        </w:rPr>
        <w:t>Art. 31</w:t>
      </w:r>
      <w:r>
        <w:tab/>
        <w:t xml:space="preserve">Monopole und Dienstleistungserbringer mit ausschliesslichen </w:t>
        <w:br/>
        <w:t>Rec</w:t>
      </w:r>
      <w:r>
        <w:t>h</w:t>
      </w:r>
      <w:r>
        <w:t>ten</w:t>
      </w:r>
    </w:p>
    <w:p>
      <w:pPr>
        <w:pStyle w:val="Absatz"/>
      </w:pPr>
      <w:r>
        <w:t>1.  Jede Vertragspartei stellt sicher, dass ein Dienstleistungserbringer mit Monopo</w:t>
      </w:r>
      <w:r>
        <w:t>l</w:t>
      </w:r>
      <w:r>
        <w:t>stellung im Hoheitsgebiet der Vertragspartei bei der Erbringung dieser Dienstleis</w:t>
      </w:r>
      <w:r>
        <w:softHyphen/>
        <w:t>tung auf dem entsprechenden Markt keine Handlungen begeht, die mit den Pflichten der Vertragspartei nach ihren besonderen Verpflichtungen unvereinbar sind.</w:t>
      </w:r>
    </w:p>
    <w:p>
      <w:pPr>
        <w:pStyle w:val="Absatz"/>
      </w:pPr>
      <w:r>
        <w:t>2.  Tritt ein Dienstleistungserbringer einer Vertragspartei mit Monopolstellung en</w:t>
      </w:r>
      <w:r>
        <w:t>t</w:t>
      </w:r>
      <w:r>
        <w:t>weder direkt oder über ein mit ihr verbundenes Unternehmen bei der Erbringung einer Dienstleistung ausserhalb seines Monopolbereichs im Wettbewerb auf und u</w:t>
      </w:r>
      <w:r>
        <w:t>n</w:t>
      </w:r>
      <w:r>
        <w:t>terliegt diese Dienstleistung besonderen Verpflichtungen dieser Vertragspartei, so gewährleistet die Vertragspartei, dass der Erbringer seine Monopolstellung nicht d</w:t>
      </w:r>
      <w:r>
        <w:t>a</w:t>
      </w:r>
      <w:r>
        <w:t>durch missbraucht, dass er in ihrem Hoheitsgebiet in einer Weise tätig ist, die mit diesen Verpflichtungen unvereinbar ist.</w:t>
      </w:r>
    </w:p>
    <w:p>
      <w:pPr>
        <w:pStyle w:val="Absatz"/>
      </w:pPr>
      <w:r>
        <w:t>3.  Eine Vertragspartei, die Grund zur Annahme hat, dass das Vorgehen eines Dienstleistungserbringers einer anderen Vertragspartei mit Monopolstellung gegen Absatz 1 oder 2 verstösst, kann von der anderen Vertragspartei verlangen, bestim</w:t>
      </w:r>
      <w:r>
        <w:t>m</w:t>
      </w:r>
      <w:r>
        <w:t>te Auskünfte über die entsprechenden Tätigkeiten zu geben.</w:t>
      </w:r>
    </w:p>
    <w:p>
      <w:pPr>
        <w:pStyle w:val="Absatz"/>
      </w:pPr>
      <w:r>
        <w:t>4.  Dieser Artikel gilt auch für Dienstleistungserbringer mit ausschliesslichen Rec</w:t>
      </w:r>
      <w:r>
        <w:t>h</w:t>
      </w:r>
      <w:r>
        <w:t>ten, sofern eine Vertragspartei rechtlich oder tatsächlich a) eine geringe Zahl von Dienstleistungserbringern genehmigt oder einsetzt und b) den Wettbewerb unter di</w:t>
      </w:r>
      <w:r>
        <w:t>e</w:t>
      </w:r>
      <w:r>
        <w:t>sen Erbringern in ihrem Hoheitsgebiet wesentlich unterbindet.</w:t>
      </w:r>
    </w:p>
    <w:p>
      <w:pPr>
        <w:pStyle w:val="Heading9"/>
      </w:pPr>
      <w:r>
        <w:rPr>
          <w:b/>
          <w:bCs/>
        </w:rPr>
        <w:t>Art. 32</w:t>
      </w:r>
      <w:r>
        <w:tab/>
        <w:t>Grenzüberschreitung natürlicher Personen</w:t>
      </w:r>
    </w:p>
    <w:p>
      <w:pPr>
        <w:pStyle w:val="Absatz"/>
      </w:pPr>
      <w:r>
        <w:t>1.  Dieses Kapitel gilt für Massnahmen betreffend natürliche Personen, die Dienst</w:t>
      </w:r>
      <w:r>
        <w:softHyphen/>
        <w:t>leistungserbringer einer Vertragspartei sind, sowie für natürliche Personen einer Vertragspartei, die von einem Dienstleistungserbringer einer Vertragspartei in Z</w:t>
      </w:r>
      <w:r>
        <w:t>u</w:t>
      </w:r>
      <w:r>
        <w:t>sammenhang mit der Erbringung einer Dienstleistung beschäftigt werden. Natürl</w:t>
      </w:r>
      <w:r>
        <w:t>i</w:t>
      </w:r>
      <w:r>
        <w:t>chen Personen, die unter die besonderen Verpflichtungen einer Vertragspartei fallen, ist es gestattet, Dienstleistungen gemäss dem Inhalt dieser besonderen Verpflichtu</w:t>
      </w:r>
      <w:r>
        <w:t>n</w:t>
      </w:r>
      <w:r>
        <w:t>gen zu erbringen.</w:t>
      </w:r>
    </w:p>
    <w:p>
      <w:pPr>
        <w:pStyle w:val="Absatz"/>
      </w:pPr>
      <w:r>
        <w:t>2.  Dieses Kapitel gilt weder für Massnahmen betreffend natürliche Personen, die sich um Zugang zum Arbeitsmarkt einer Vertragspartei bemühen, noch für Mas</w:t>
      </w:r>
      <w:r>
        <w:t>s</w:t>
      </w:r>
      <w:r>
        <w:t>nahmen, welche die Staatsangehörigkeit, den Daueraufenthalt oder die Dauer</w:t>
      </w:r>
      <w:r>
        <w:softHyphen/>
        <w:t>beschäftigung betreffen.</w:t>
      </w:r>
    </w:p>
    <w:p>
      <w:pPr>
        <w:pStyle w:val="Absatz"/>
      </w:pPr>
      <w:r>
        <w:t>3.  Dieses Abkommen hindert eine Vertragspartei nicht daran, Massnahmen zur R</w:t>
      </w:r>
      <w:r>
        <w:t>e</w:t>
      </w:r>
      <w:r>
        <w:t>gelung der Einreise oder des vorübergehenden Aufenthalts natürlicher Personen in ihrem Hoheitsgebiet einschliesslich solcher Massnahmen zu treffen, die zum Schutz der Unversehrtheit ihrer Grenzen und zur Gewährleistung der ordnungs</w:t>
      </w:r>
      <w:r>
        <w:softHyphen/>
        <w:t>gemässen Grenzüberschreitung natürlicher Personen erforderlich sind; jedoch dürfen solche Massnahmen nicht auf eine Weise angewendet werden, welche die Vorteile, die einer Vertragspartei auf Grund der Bestimmungen einer besonderen Verpflic</w:t>
      </w:r>
      <w:r>
        <w:t>h</w:t>
      </w:r>
      <w:r>
        <w:t>tung zustehen, zunichte macht oder schmälert</w:t>
      </w:r>
      <w:r>
        <w:rPr>
          <w:rStyle w:val="FootnoteReference"/>
          <w:noProof w:val="0"/>
          <w:lang w:val="de-CH" w:eastAsia="de-DE"/>
        </w:rPr>
        <w:footnoteReference w:id="26"/>
      </w:r>
      <w:r>
        <w:t>.</w:t>
      </w:r>
    </w:p>
    <w:p>
      <w:pPr>
        <w:pStyle w:val="Heading9"/>
      </w:pPr>
      <w:r>
        <w:rPr>
          <w:b/>
          <w:bCs/>
        </w:rPr>
        <w:t>Art. 33</w:t>
      </w:r>
      <w:r>
        <w:tab/>
        <w:t>Allgemeine Ausnahmen</w:t>
      </w:r>
    </w:p>
    <w:p>
      <w:pPr>
        <w:pStyle w:val="Absatz"/>
      </w:pPr>
      <w:r>
        <w:t>Unter der Voraussetzung, dass solche Massnahmen nicht in einer Weise angewendet werden, die ein Mittel zu willkürlicher oder ungerechtfertigter Diskriminierung unter Ländern, in denen gleiche Bedingungen herrschen, oder eine verdeckte B</w:t>
      </w:r>
      <w:r>
        <w:t>e</w:t>
      </w:r>
      <w:r>
        <w:t>schränkung für den Dienstleistungsverkehr darstellen würde, hindert dieses Kap</w:t>
      </w:r>
      <w:r>
        <w:t>i</w:t>
      </w:r>
      <w:r>
        <w:t>tel eine Vertragspartei nicht daran, Massnahmen zu treffen oder durchzusetzen:</w:t>
      </w:r>
    </w:p>
    <w:p>
      <w:pPr>
        <w:pStyle w:val="Struktur1"/>
      </w:pPr>
      <w:r>
        <w:rPr>
          <w:snapToGrid w:val="0"/>
        </w:rPr>
        <w:t>(a)</w:t>
        <w:tab/>
        <w:t xml:space="preserve">die </w:t>
      </w:r>
      <w:r>
        <w:t>erforderlich sind, um die guten Sitten oder die öffentliche Ordnung au</w:t>
      </w:r>
      <w:r>
        <w:t>f</w:t>
      </w:r>
      <w:r>
        <w:t>rechtzuerhalten</w:t>
      </w:r>
      <w:r>
        <w:rPr>
          <w:rStyle w:val="FootnoteReference"/>
          <w:noProof w:val="0"/>
          <w:lang w:val="de-CH" w:eastAsia="de-DE"/>
        </w:rPr>
        <w:footnoteReference w:id="27"/>
      </w:r>
      <w:r>
        <w:t>;</w:t>
      </w:r>
    </w:p>
    <w:p>
      <w:pPr>
        <w:pStyle w:val="Struktur1"/>
      </w:pPr>
      <w:r>
        <w:t>(b)</w:t>
        <w:tab/>
        <w:t>die erforderlich sind, um das Leben oder die Gesundheit von Menschen, Ti</w:t>
      </w:r>
      <w:r>
        <w:t>e</w:t>
      </w:r>
      <w:r>
        <w:t>ren oder Pflanzen zu schützen;</w:t>
      </w:r>
    </w:p>
    <w:p>
      <w:pPr>
        <w:pStyle w:val="Struktur1"/>
      </w:pPr>
      <w:r>
        <w:t>(c)</w:t>
        <w:tab/>
        <w:t>die erforderlich sind, um die Einhaltung von Rechtsvorschriften zu gewäh</w:t>
      </w:r>
      <w:r>
        <w:t>r</w:t>
      </w:r>
      <w:r>
        <w:t>leisten, die nicht im Widerspruch zu den Bestimmungen dieses Kapitels st</w:t>
      </w:r>
      <w:r>
        <w:t>e</w:t>
      </w:r>
      <w:r>
        <w:t>hen, einschliesslich Massnahmen:</w:t>
      </w:r>
    </w:p>
    <w:p>
      <w:pPr>
        <w:pStyle w:val="Struktur2"/>
      </w:pPr>
      <w:r>
        <w:t>(i)</w:t>
        <w:tab/>
        <w:t>zur Verhinderung irreführender und betrügerischer Geschäftspraktiken oder zur Regelung der Folgen einer Nichterfüllung von Dienstleis</w:t>
      </w:r>
      <w:r>
        <w:softHyphen/>
        <w:t>tungsverträgen;</w:t>
      </w:r>
    </w:p>
    <w:p>
      <w:pPr>
        <w:pStyle w:val="Struktur2"/>
      </w:pPr>
      <w:r>
        <w:t>(ii)</w:t>
        <w:tab/>
        <w:t>zum Persönlichkeitsschutz bei der Verarbeitung und Weitergabe pers</w:t>
      </w:r>
      <w:r>
        <w:t>o</w:t>
      </w:r>
      <w:r>
        <w:t>nenbezogener Daten und zum Schutz der Vertraulichkeit persönlicher Aufzeichnungen und persönlicher Rechnungsführung;</w:t>
      </w:r>
    </w:p>
    <w:p>
      <w:pPr>
        <w:pStyle w:val="Struktur2"/>
      </w:pPr>
      <w:r>
        <w:t>(iii)</w:t>
        <w:tab/>
        <w:t>zur Gewährleistung der Sicherheit;</w:t>
      </w:r>
    </w:p>
    <w:p>
      <w:pPr>
        <w:pStyle w:val="Abstand18pt"/>
      </w:pPr>
      <w:r>
        <w:rPr>
          <w:snapToGrid w:val="0"/>
        </w:rPr>
        <w:t xml:space="preserve"> </w:t>
      </w:r>
    </w:p>
    <w:p>
      <w:pPr>
        <w:pStyle w:val="Abstand18pt"/>
      </w:pPr>
      <w:r>
        <w:rPr>
          <w:snapToGrid w:val="0"/>
        </w:rPr>
        <w:t xml:space="preserve"> </w:t>
      </w:r>
    </w:p>
    <w:p>
      <w:pPr>
        <w:pStyle w:val="Abstand18pt"/>
      </w:pPr>
      <w:r>
        <w:rPr>
          <w:snapToGrid w:val="0"/>
        </w:rPr>
        <w:t xml:space="preserve"> </w:t>
      </w:r>
    </w:p>
    <w:p>
      <w:pPr>
        <w:pStyle w:val="Abstand18pt"/>
      </w:pPr>
      <w:r>
        <w:rPr>
          <w:snapToGrid w:val="0"/>
        </w:rPr>
        <w:t xml:space="preserve"> </w:t>
      </w:r>
    </w:p>
    <w:p>
      <w:pPr>
        <w:pStyle w:val="Abstand18pt"/>
      </w:pPr>
      <w:r>
        <w:rPr>
          <w:snapToGrid w:val="0"/>
        </w:rPr>
        <w:t xml:space="preserve"> </w:t>
      </w:r>
    </w:p>
    <w:p>
      <w:pPr>
        <w:pStyle w:val="Abstand18pt"/>
      </w:pPr>
      <w:r>
        <w:rPr>
          <w:snapToGrid w:val="0"/>
        </w:rPr>
        <w:t xml:space="preserve"> </w:t>
      </w:r>
    </w:p>
    <w:p>
      <w:pPr>
        <w:pStyle w:val="Abstand18pt"/>
      </w:pPr>
      <w:r>
        <w:rPr>
          <w:snapToGrid w:val="0"/>
        </w:rPr>
        <w:t xml:space="preserve"> </w:t>
      </w:r>
    </w:p>
    <w:p>
      <w:pPr>
        <w:pStyle w:val="Struktur1"/>
        <w:rPr>
          <w:snapToGrid w:val="0"/>
        </w:rPr>
      </w:pPr>
      <w:r>
        <w:rPr>
          <w:snapToGrid w:val="0"/>
        </w:rPr>
        <w:t>(d)</w:t>
        <w:tab/>
        <w:t xml:space="preserve">die </w:t>
      </w:r>
      <w:r>
        <w:t>mit Artikel 25 unvereinbar sind, sofern die unterschiedliche Behandlung darauf abzielt, eine gerechte oder tatsächlich wirksame</w:t>
      </w:r>
      <w:r>
        <w:rPr>
          <w:rStyle w:val="FootnoteReference"/>
          <w:noProof w:val="0"/>
          <w:lang w:val="de-CH" w:eastAsia="de-DE"/>
        </w:rPr>
        <w:footnoteReference w:id="28"/>
      </w:r>
      <w:r>
        <w:rPr>
          <w:sz w:val="13"/>
          <w:szCs w:val="13"/>
        </w:rPr>
        <w:t xml:space="preserve"> </w:t>
      </w:r>
      <w:r>
        <w:t>Festsetzung oder Erhebung direkter Steuern in Bezug auf Dienstleistungen oder Dienstleis</w:t>
      </w:r>
      <w:r>
        <w:softHyphen/>
        <w:t>tungserbringer anderer Vertragsparteien zu gewährleisten;</w:t>
      </w:r>
    </w:p>
    <w:p>
      <w:pPr>
        <w:pStyle w:val="Struktur1"/>
        <w:rPr>
          <w:snapToGrid w:val="0"/>
        </w:rPr>
      </w:pPr>
      <w:r>
        <w:rPr>
          <w:snapToGrid w:val="0"/>
        </w:rPr>
        <w:t>(e)</w:t>
        <w:tab/>
        <w:t xml:space="preserve">die </w:t>
      </w:r>
      <w:r>
        <w:t>mit Artikel 23 unvereinbar sind, sofern die unterschiedliche Behandlung auf einem Doppelbesteuerungsabkommen oder auf Bestimmungen zur Ve</w:t>
      </w:r>
      <w:r>
        <w:t>r</w:t>
      </w:r>
      <w:r>
        <w:t>meidung von Doppelbesteuerung in einem anderen internationalen Überei</w:t>
      </w:r>
      <w:r>
        <w:t>n</w:t>
      </w:r>
      <w:r>
        <w:rPr>
          <w:color w:val="000000"/>
        </w:rPr>
        <w:t>kommen</w:t>
      </w:r>
      <w:r>
        <w:t xml:space="preserve"> beruht</w:t>
      </w:r>
      <w:r>
        <w:rPr>
          <w:color w:val="000000"/>
        </w:rPr>
        <w:t>, durch welches eine Vertragspartei gebunden ist</w:t>
      </w:r>
      <w:r>
        <w:t>.</w:t>
      </w:r>
    </w:p>
    <w:p>
      <w:pPr>
        <w:pStyle w:val="Heading9"/>
      </w:pPr>
      <w:r>
        <w:rPr>
          <w:b/>
          <w:bCs/>
        </w:rPr>
        <w:t>Art. 34</w:t>
      </w:r>
      <w:r>
        <w:tab/>
        <w:t>Ausnahmen aus Gründen der Sicherheit</w:t>
      </w:r>
    </w:p>
    <w:p>
      <w:pPr>
        <w:pStyle w:val="Absatz"/>
      </w:pPr>
      <w:r>
        <w:t>Keine Bestimmung in diesem Abkommen darf so ausgelegt werden:</w:t>
      </w:r>
    </w:p>
    <w:p>
      <w:pPr>
        <w:pStyle w:val="Struktur1"/>
      </w:pPr>
      <w:r>
        <w:t>(a)</w:t>
        <w:tab/>
        <w:t>dass sie von einer Vertragspartei verlangt, Informationen zur Verfügung zu stellen oder zugänglich zu machen, deren Offenlegung nach ihrem Ermessen ihren wesentlichen Sicherheitsinteressen zuwiderläuft;</w:t>
      </w:r>
    </w:p>
    <w:p>
      <w:pPr>
        <w:pStyle w:val="Struktur1"/>
        <w:rPr>
          <w:b/>
          <w:bCs/>
        </w:rPr>
      </w:pPr>
      <w:r>
        <w:t>(b)</w:t>
        <w:tab/>
        <w:t>dass eine Vertragspartei daran gehindert wird, Massnahmen zu treffen, die sie zum Schutz ihrer wesentlichen Sicherheitsinteressen als erforderlich e</w:t>
      </w:r>
      <w:r>
        <w:t>r</w:t>
      </w:r>
      <w:r>
        <w:t>achtet:</w:t>
      </w:r>
    </w:p>
    <w:p>
      <w:pPr>
        <w:pStyle w:val="Struktur2"/>
        <w:rPr>
          <w:snapToGrid w:val="0"/>
        </w:rPr>
      </w:pPr>
      <w:r>
        <w:rPr>
          <w:snapToGrid w:val="0"/>
        </w:rPr>
        <w:t>(i)</w:t>
        <w:tab/>
        <w:t xml:space="preserve">Massnahmen </w:t>
      </w:r>
      <w:r>
        <w:t>betreffend die Erbringung von Dienstleistungen, die u</w:t>
      </w:r>
      <w:r>
        <w:t>n</w:t>
      </w:r>
      <w:r>
        <w:t>mittelbar oder mittelbar für die Versorgung einer militärischen Einric</w:t>
      </w:r>
      <w:r>
        <w:t>h</w:t>
      </w:r>
      <w:r>
        <w:t>tung bestimmt sind;</w:t>
      </w:r>
    </w:p>
    <w:p>
      <w:pPr>
        <w:pStyle w:val="Struktur2"/>
        <w:rPr>
          <w:snapToGrid w:val="0"/>
        </w:rPr>
      </w:pPr>
      <w:r>
        <w:rPr>
          <w:snapToGrid w:val="0"/>
        </w:rPr>
        <w:t>(ii)</w:t>
        <w:tab/>
        <w:t xml:space="preserve">Massnahmen </w:t>
      </w:r>
      <w:r>
        <w:t xml:space="preserve">betreffend spaltbare oder </w:t>
      </w:r>
      <w:r>
        <w:rPr>
          <w:snapToGrid w:val="0"/>
        </w:rPr>
        <w:t xml:space="preserve">verschmelzbare </w:t>
      </w:r>
      <w:r>
        <w:t>Stoffe oder betreffend Stoffe, aus denen diese erzeugt werden;</w:t>
      </w:r>
    </w:p>
    <w:p>
      <w:pPr>
        <w:pStyle w:val="Struktur2"/>
        <w:rPr>
          <w:snapToGrid w:val="0"/>
        </w:rPr>
      </w:pPr>
      <w:r>
        <w:rPr>
          <w:snapToGrid w:val="0"/>
        </w:rPr>
        <w:t>(iii)</w:t>
        <w:tab/>
        <w:t xml:space="preserve">Massnahmen, </w:t>
      </w:r>
      <w:r>
        <w:t>die in Kriegszeiten oder im Falle einer anderen ernstha</w:t>
      </w:r>
      <w:r>
        <w:t>f</w:t>
      </w:r>
      <w:r>
        <w:t>ten internationalen Spannung getroffen werden;</w:t>
      </w:r>
    </w:p>
    <w:p>
      <w:pPr>
        <w:pStyle w:val="Struktur1"/>
      </w:pPr>
      <w:r>
        <w:t>(c)</w:t>
        <w:tab/>
        <w:t>dass eine Vertragspartei daran gehindert wird, eine Massnahme zur Erfü</w:t>
      </w:r>
      <w:r>
        <w:t>l</w:t>
      </w:r>
      <w:r>
        <w:t>lung ihrer Verpflichtungen auf Grund der Charta der Vereinten Nationen zur Aufrechterhaltung des Weltfriedens und der internationalen Sicherheit zu treffen.</w:t>
      </w:r>
    </w:p>
    <w:p>
      <w:pPr>
        <w:pStyle w:val="Heading9"/>
      </w:pPr>
      <w:r>
        <w:rPr>
          <w:b/>
          <w:bCs/>
        </w:rPr>
        <w:t>Art. 35</w:t>
      </w:r>
      <w:r>
        <w:tab/>
        <w:t>Beschränkungen aus Zahlungsbilanzgründen</w:t>
      </w:r>
    </w:p>
    <w:p>
      <w:pPr>
        <w:pStyle w:val="Absatz"/>
        <w:rPr>
          <w:snapToGrid w:val="0"/>
          <w:color w:val="000000"/>
        </w:rPr>
      </w:pPr>
      <w:r>
        <w:t>1.  </w:t>
      </w:r>
      <w:r>
        <w:rPr>
          <w:snapToGrid w:val="0"/>
          <w:color w:val="000000"/>
        </w:rPr>
        <w:t xml:space="preserve">Die Vertragsparteien </w:t>
      </w:r>
      <w:r>
        <w:t>bemühen sich, die Einführung handelsbeschränkender Massnahmen aus Zahlungsbilanzgründen zu vermeiden,</w:t>
      </w:r>
    </w:p>
    <w:p>
      <w:pPr>
        <w:pStyle w:val="Absatz"/>
        <w:rPr>
          <w:snapToGrid w:val="0"/>
        </w:rPr>
      </w:pPr>
      <w:r>
        <w:t>2.  </w:t>
      </w:r>
      <w:r>
        <w:rPr>
          <w:snapToGrid w:val="0"/>
        </w:rPr>
        <w:t>Auf Zahlungen und Transfers sowie auf Beschränkungen aus Zahlungsbilan</w:t>
      </w:r>
      <w:r>
        <w:rPr>
          <w:snapToGrid w:val="0"/>
        </w:rPr>
        <w:t>z</w:t>
      </w:r>
      <w:r>
        <w:rPr>
          <w:snapToGrid w:val="0"/>
        </w:rPr>
        <w:t>gründen im Zusammenhang mit dem Handel von Dienstleistungen sind die Art</w:t>
      </w:r>
      <w:r>
        <w:rPr>
          <w:snapToGrid w:val="0"/>
        </w:rPr>
        <w:t>i</w:t>
      </w:r>
      <w:r>
        <w:rPr>
          <w:snapToGrid w:val="0"/>
        </w:rPr>
        <w:t>kel XI und XII GATS anwendbar.</w:t>
      </w:r>
    </w:p>
    <w:p>
      <w:pPr>
        <w:pStyle w:val="Absatz"/>
        <w:rPr>
          <w:snapToGrid w:val="0"/>
          <w:color w:val="000000"/>
        </w:rPr>
      </w:pPr>
      <w:r>
        <w:t>3.  </w:t>
      </w:r>
      <w:r>
        <w:rPr>
          <w:snapToGrid w:val="0"/>
          <w:color w:val="000000"/>
        </w:rPr>
        <w:t>Eine Vertragspartei, die nach diesem Artikel Massnahmen einführt oder aufrech</w:t>
      </w:r>
      <w:r>
        <w:rPr>
          <w:snapToGrid w:val="0"/>
          <w:color w:val="000000"/>
        </w:rPr>
        <w:t>t</w:t>
      </w:r>
      <w:r>
        <w:rPr>
          <w:snapToGrid w:val="0"/>
          <w:color w:val="000000"/>
        </w:rPr>
        <w:t>erhält, unterrichtet umgehend die anderen Vertragsparteien und den Gemisc</w:t>
      </w:r>
      <w:r>
        <w:rPr>
          <w:snapToGrid w:val="0"/>
          <w:color w:val="000000"/>
        </w:rPr>
        <w:t>h</w:t>
      </w:r>
      <w:r>
        <w:rPr>
          <w:snapToGrid w:val="0"/>
          <w:color w:val="000000"/>
        </w:rPr>
        <w:t>ten Ausschuss hiervon.</w:t>
      </w:r>
    </w:p>
    <w:p>
      <w:pPr>
        <w:pStyle w:val="Heading9"/>
      </w:pPr>
      <w:r>
        <w:rPr>
          <w:b/>
          <w:bCs/>
        </w:rPr>
        <w:t>Art. 36</w:t>
      </w:r>
      <w:r>
        <w:tab/>
        <w:t>Anhänge</w:t>
      </w:r>
    </w:p>
    <w:p>
      <w:pPr>
        <w:pStyle w:val="Absatz"/>
        <w:rPr>
          <w:snapToGrid w:val="0"/>
        </w:rPr>
      </w:pPr>
      <w:r>
        <w:t>Die Anhänge VI bis X sind Bestandteil dieses Kapitels.</w:t>
      </w:r>
    </w:p>
    <w:p>
      <w:pPr>
        <w:pStyle w:val="Abstand18pt"/>
      </w:pPr>
    </w:p>
    <w:p>
      <w:pPr>
        <w:pStyle w:val="Heading1"/>
      </w:pPr>
      <w:r>
        <w:t>IV</w:t>
        <w:tab/>
        <w:t>Investitionen</w:t>
      </w:r>
    </w:p>
    <w:p>
      <w:pPr>
        <w:pStyle w:val="Heading9"/>
      </w:pPr>
      <w:r>
        <w:rPr>
          <w:b/>
          <w:bCs/>
        </w:rPr>
        <w:t>Art. 37</w:t>
      </w:r>
      <w:r>
        <w:tab/>
        <w:t>Begriffsbestimmungen</w:t>
      </w:r>
    </w:p>
    <w:p>
      <w:pPr>
        <w:pStyle w:val="Absatz"/>
      </w:pPr>
      <w:r>
        <w:t>Für die Zwecke dieses Kapitels:</w:t>
      </w:r>
    </w:p>
    <w:p>
      <w:pPr>
        <w:pStyle w:val="Struktur1"/>
      </w:pPr>
      <w:r>
        <w:t>(a)</w:t>
        <w:tab/>
        <w:t>bedeutet «</w:t>
      </w:r>
      <w:r>
        <w:rPr>
          <w:i/>
          <w:iCs/>
        </w:rPr>
        <w:t>Unternehmen»</w:t>
      </w:r>
      <w:r>
        <w:t xml:space="preserve"> jedes Gebilde, das gemäss den geltenden Recht</w:t>
      </w:r>
      <w:r>
        <w:t>s</w:t>
      </w:r>
      <w:r>
        <w:t>vorschriften einer Vertragspartei gegründet oder organisiert ist, unabhängig davon, ob mit oder ohne Gewinnzweck, in Privat- oder Staatseigentum oder unter privater oder staatlicher Kontrolle stehend, einschliesslich Kapital</w:t>
      </w:r>
      <w:r>
        <w:softHyphen/>
        <w:t>gesellschaften, Trusts, Personengesellschaften, Einzelunternehmen, Gemei</w:t>
      </w:r>
      <w:r>
        <w:t>n</w:t>
      </w:r>
      <w:r>
        <w:t>schaftsunternehmen oder anderer Vereinigungen;</w:t>
      </w:r>
    </w:p>
    <w:p>
      <w:pPr>
        <w:pStyle w:val="Struktur1"/>
      </w:pPr>
      <w:r>
        <w:t>(b)</w:t>
        <w:tab/>
        <w:t xml:space="preserve">bedeutet </w:t>
      </w:r>
      <w:r>
        <w:rPr>
          <w:i/>
          <w:iCs/>
        </w:rPr>
        <w:t>«Investition</w:t>
      </w:r>
      <w:r>
        <w:t>» jede Art von Vermögenswert, insbesondere:</w:t>
      </w:r>
    </w:p>
    <w:p>
      <w:pPr>
        <w:pStyle w:val="Struktur2"/>
      </w:pPr>
      <w:r>
        <w:t>(i)</w:t>
        <w:tab/>
        <w:t>bewegliche und unbewegliche Vermögensgegenstände sowie jegliche andere Rechte wie Grundlasten, Grundpfand- und Fahrnispfandrechte;</w:t>
      </w:r>
    </w:p>
    <w:p>
      <w:pPr>
        <w:pStyle w:val="Struktur2"/>
      </w:pPr>
      <w:r>
        <w:t>(ii)</w:t>
        <w:tab/>
        <w:t>Aktien, Anleihen, Obligationen oder sonstige Formen der Beteiligung an einem Unternehmen;</w:t>
      </w:r>
    </w:p>
    <w:p>
      <w:pPr>
        <w:pStyle w:val="Struktur2"/>
      </w:pPr>
      <w:r>
        <w:t>(iii)</w:t>
        <w:tab/>
        <w:t>Forderungen auf Geld oder auf irgendwelchen Leistungen, die einen wirtschaftlichen Wert haben und mit einem Unternehmen zusamme</w:t>
      </w:r>
      <w:r>
        <w:t>n</w:t>
      </w:r>
      <w:r>
        <w:t>hängen;</w:t>
      </w:r>
    </w:p>
    <w:p>
      <w:pPr>
        <w:pStyle w:val="Struktur2"/>
      </w:pPr>
      <w:r>
        <w:t xml:space="preserve"> (iv)</w:t>
        <w:tab/>
        <w:t>Immaterialgüterrechte, technisches «Knowhow» und «Goodwill»;</w:t>
      </w:r>
    </w:p>
    <w:p>
      <w:pPr>
        <w:pStyle w:val="Struktur2"/>
      </w:pPr>
      <w:r>
        <w:t>(v)</w:t>
        <w:tab/>
        <w:t>gesetzlich oder vertraglich verliehene Geschäftskonzessionen, ei</w:t>
      </w:r>
      <w:r>
        <w:t>n</w:t>
      </w:r>
      <w:r>
        <w:t>schliess</w:t>
      </w:r>
      <w:r>
        <w:softHyphen/>
        <w:t>lich Konzessionen zur Erschliessung, Gewinnung und Nutzung natürlicher Ressourcen;</w:t>
      </w:r>
    </w:p>
    <w:p>
      <w:pPr>
        <w:pStyle w:val="Struktur1"/>
      </w:pPr>
      <w:r>
        <w:t>(c)</w:t>
        <w:tab/>
        <w:t>bedeutet «</w:t>
      </w:r>
      <w:r>
        <w:rPr>
          <w:i/>
          <w:iCs/>
        </w:rPr>
        <w:t>Investition eines Investors einer Vertragspartei</w:t>
      </w:r>
      <w:r>
        <w:t>» eine Investition, die einem Investor dieser Vertragspartei unmittelbar oder mittelbar gehört oder von ihm kontrolliert wird;</w:t>
      </w:r>
    </w:p>
    <w:p>
      <w:pPr>
        <w:pStyle w:val="Struktur1"/>
      </w:pPr>
      <w:r>
        <w:t>(d)</w:t>
        <w:tab/>
        <w:t xml:space="preserve">bedeutet </w:t>
      </w:r>
      <w:r>
        <w:rPr>
          <w:i/>
          <w:iCs/>
        </w:rPr>
        <w:t>«Investor einer Vertragspartei»</w:t>
      </w:r>
      <w:r>
        <w:t>:</w:t>
      </w:r>
    </w:p>
    <w:p>
      <w:pPr>
        <w:pStyle w:val="Struktur2"/>
      </w:pPr>
      <w:r>
        <w:t>(i)</w:t>
        <w:tab/>
        <w:t>eine natürliche Person, welche nach geltendem Recht dieser Vertrag</w:t>
      </w:r>
      <w:r>
        <w:t>s</w:t>
      </w:r>
      <w:r>
        <w:t>partei deren Staatsangehörigkeit besitzt oder dort das Recht auf ständ</w:t>
      </w:r>
      <w:r>
        <w:t>i</w:t>
      </w:r>
      <w:r>
        <w:t>gen Aufenthalt hat;</w:t>
      </w:r>
    </w:p>
    <w:p>
      <w:pPr>
        <w:pStyle w:val="Struktur2"/>
      </w:pPr>
      <w:r>
        <w:t>(ii)</w:t>
        <w:tab/>
        <w:t>ein Unternehmen, das in Übereinstimmung mit den geltenden Recht</w:t>
      </w:r>
      <w:r>
        <w:t>s</w:t>
      </w:r>
      <w:r>
        <w:t>vorschriften dieser Vertragspartei gegründet oder organisiert ist und dort erhebliche Geschäftstätigkeiten ausführt;</w:t>
      </w:r>
    </w:p>
    <w:p>
      <w:pPr>
        <w:pStyle w:val="Struktur1"/>
      </w:pPr>
      <w:r>
        <w:tab/>
        <w:t>welche oder welches auf dem Gebiet einer anderen Vertragspartei eine I</w:t>
      </w:r>
      <w:r>
        <w:t>n</w:t>
      </w:r>
      <w:r>
        <w:t>vestition vornimmt oder getätigt hat.</w:t>
      </w:r>
    </w:p>
    <w:p>
      <w:pPr>
        <w:pStyle w:val="Heading9"/>
      </w:pPr>
      <w:r>
        <w:rPr>
          <w:b/>
          <w:bCs/>
        </w:rPr>
        <w:t>Art. 38</w:t>
      </w:r>
      <w:r>
        <w:tab/>
        <w:t>Geltungsbereich</w:t>
      </w:r>
    </w:p>
    <w:p>
      <w:pPr>
        <w:pStyle w:val="Absatz"/>
      </w:pPr>
      <w:r>
        <w:t>1.  Dieses Kapitel gilt für die Investoren einer Vertragspartei und deren Investiti</w:t>
      </w:r>
      <w:r>
        <w:t>o</w:t>
      </w:r>
      <w:r>
        <w:t>nen, unabhängig davon, ob diese Investitionen vor oder nach dem Inkrafttreten di</w:t>
      </w:r>
      <w:r>
        <w:t>e</w:t>
      </w:r>
      <w:r>
        <w:t>ses Abkommens getätigt werden.</w:t>
      </w:r>
    </w:p>
    <w:p>
      <w:pPr>
        <w:pStyle w:val="Absatz"/>
      </w:pPr>
      <w:r>
        <w:t>2.  Artikel 40 Absatz 1 gilt nicht für Massnahmen, die den Handel mit Dienstlei</w:t>
      </w:r>
      <w:r>
        <w:t>s</w:t>
      </w:r>
      <w:r>
        <w:t>tungen betreffen, unabhängig davon, ob ein betroffener Sektor unter Kapitel III au</w:t>
      </w:r>
      <w:r>
        <w:t>f</w:t>
      </w:r>
      <w:r>
        <w:t>gelistet ist oder nicht.</w:t>
      </w:r>
    </w:p>
    <w:p>
      <w:pPr>
        <w:pStyle w:val="Absatz"/>
      </w:pPr>
      <w:r>
        <w:t>3.  Artikel 40 Absatz 1 findet auch keine Anwendung auf Investoren einer Vertrag</w:t>
      </w:r>
      <w:r>
        <w:t>s</w:t>
      </w:r>
      <w:r>
        <w:t xml:space="preserve">partei in Dienstleistungssektoren und auf ihre Investitionen in solchen Sektoren. Diese Bestimmung wird zehn Jahre nach dem Inkrafttreten dieses Abkommens </w:t>
      </w:r>
      <w:r>
        <w:t>ü</w:t>
      </w:r>
      <w:r>
        <w:t>berprüft, um abzuklären, ob sie weiterhin benötigt wird.</w:t>
      </w:r>
    </w:p>
    <w:p>
      <w:pPr>
        <w:pStyle w:val="Absatz"/>
      </w:pPr>
      <w:r>
        <w:t>4.  </w:t>
      </w:r>
      <w:r>
        <w:rPr>
          <w:color w:val="000000"/>
        </w:rPr>
        <w:t>Die Rechte und Pflichten der Vertragsparteien unter anderen internationalen A</w:t>
      </w:r>
      <w:r>
        <w:rPr>
          <w:color w:val="000000"/>
        </w:rPr>
        <w:t>b</w:t>
      </w:r>
      <w:r>
        <w:rPr>
          <w:color w:val="000000"/>
        </w:rPr>
        <w:t>kommen über Investitionen werden durch die Bestimmungen dieses Kapitels nicht berührt.</w:t>
      </w:r>
    </w:p>
    <w:p>
      <w:pPr>
        <w:pStyle w:val="Heading9"/>
      </w:pPr>
      <w:r>
        <w:rPr>
          <w:b/>
          <w:bCs/>
        </w:rPr>
        <w:t>Art. 39</w:t>
      </w:r>
      <w:r>
        <w:tab/>
        <w:t>Förderung und Schutz von Investitionen</w:t>
      </w:r>
    </w:p>
    <w:p>
      <w:pPr>
        <w:pStyle w:val="Absatz"/>
      </w:pPr>
      <w:r>
        <w:t>1.  Jede Vertragspartei schafft und unterhält in Übereinstimmung mit den Besti</w:t>
      </w:r>
      <w:r>
        <w:t>m</w:t>
      </w:r>
      <w:r>
        <w:t>mungen dieses Kapitels stabile, gerechte, vorteilhafte und transparente Bedingungen für Investoren der anderen Vertragsparteien, damit diese Investitionen in ihrem H</w:t>
      </w:r>
      <w:r>
        <w:t>o</w:t>
      </w:r>
      <w:r>
        <w:t>heitsgebiet vornehmen können.</w:t>
      </w:r>
    </w:p>
    <w:p>
      <w:pPr>
        <w:pStyle w:val="Absatz"/>
      </w:pPr>
      <w:r>
        <w:t>2.  Dazu gehört auch die Verpflichtung, den Investitionen von Investoren anderer Vertragsparteien jederzeit eine gerechte und billige Behandlung zu gewähren. Z</w:t>
      </w:r>
      <w:r>
        <w:t>u</w:t>
      </w:r>
      <w:r>
        <w:t>dem sollen diese Investitionen ständigen Schutz und Sicherheit geniessen</w:t>
      </w:r>
      <w:r>
        <w:rPr>
          <w:sz w:val="20"/>
        </w:rPr>
        <w:t>.</w:t>
      </w:r>
    </w:p>
    <w:p>
      <w:pPr>
        <w:pStyle w:val="Heading9"/>
      </w:pPr>
      <w:r>
        <w:rPr>
          <w:b/>
          <w:bCs/>
        </w:rPr>
        <w:t>Art. 40</w:t>
      </w:r>
      <w:r>
        <w:tab/>
        <w:t>Inländerbehandlung und Meistbegünstigung</w:t>
      </w:r>
    </w:p>
    <w:p>
      <w:pPr>
        <w:pStyle w:val="Absatz"/>
      </w:pPr>
      <w:r>
        <w:t>1.  Jede Vertragspartei gewährt Investoren und Investitionen von Investoren einer anderen Vertragspartei hinsichtlich Errichtung, Erwerb, Erweiterung, Verwaltung, Führung, Betrieb oder Veräusserung von Investitionen eine nicht weniger günstige Behandlung als jene, die sie in vergleichbaren Umständen ihren eigenen Investoren oder Investoren irgendeines Drittstaates und deren Investitionen angedeihen lässt, je nachdem, welche die günstigere ist.</w:t>
      </w:r>
    </w:p>
    <w:p>
      <w:pPr>
        <w:pStyle w:val="Absatz"/>
      </w:pPr>
      <w:r>
        <w:t>2.  Gewährt eine Vertragspartei Investoren eines Drittstaates oder deren Investi</w:t>
      </w:r>
      <w:r>
        <w:softHyphen/>
        <w:t>tionen auf Grund eines Freihandelsabkommens, einer Zollunion oder eines ve</w:t>
      </w:r>
      <w:r>
        <w:t>r</w:t>
      </w:r>
      <w:r>
        <w:t>gleichbaren Abkommens, in dem ebenfalls eine wesentliche Liberalisierung der Investitionen vorgesehen ist, eine günstigere Behandlung, so ist sie nicht verpflic</w:t>
      </w:r>
      <w:r>
        <w:t>h</w:t>
      </w:r>
      <w:r>
        <w:t>tet, diese Behandlung auch den Investoren einer anderen Vertragspartei oder deren I</w:t>
      </w:r>
      <w:r>
        <w:t>n</w:t>
      </w:r>
      <w:r>
        <w:t xml:space="preserve">vestitionen zu gewähren. Sie </w:t>
      </w:r>
      <w:r>
        <w:rPr>
          <w:color w:val="000000"/>
        </w:rPr>
        <w:t>räumt jedoch einer anderen Vertragspartei auf deren Begehren angemessene Gelegenheit ein, um über die darin gewährten Vorteile zu verhandeln.</w:t>
      </w:r>
    </w:p>
    <w:p>
      <w:pPr>
        <w:pStyle w:val="Absatz"/>
      </w:pPr>
      <w:r>
        <w:t>3.  Der Standard der Inländerbehandlung, wie er in Absatz 1 vorgesehen ist, findet keine Anwendung auf Subventionen, die auf der Sozialpolitik oder der Politik zur wirtschaftlichen Entwicklung einer Vertragspartei beruhen, selbst wenn solche Subventionen direkt oder indirekt örtliche Unternehmen oder Unternehmer begün</w:t>
      </w:r>
      <w:r>
        <w:t>s</w:t>
      </w:r>
      <w:r>
        <w:t>tigen. Ist eine andere Vertragspartei der Ansicht, dass solche Subventionen in einem bestimmten Fall eine schwerwiegend verzerrende Wirkung auf die Investitionen</w:t>
      </w:r>
      <w:r>
        <w:t>s</w:t>
      </w:r>
      <w:r>
        <w:t>möglichkeiten ihrer eigenen Investoren haben, so kann sie Konsultationen über di</w:t>
      </w:r>
      <w:r>
        <w:t>e</w:t>
      </w:r>
      <w:r>
        <w:t>se Fragen beantragen. Solche Anträge werden wohlwollend geprüft.</w:t>
      </w:r>
    </w:p>
    <w:p>
      <w:pPr>
        <w:pStyle w:val="Absatz"/>
      </w:pPr>
      <w:r>
        <w:t>4.  Der Standard der Inländerbehandlung im Sinne von Absatz 1 bedeutet in Bezug auf staatliche Stellen einer unteren (subnationalen) Ebene, dass diese eine nicht u</w:t>
      </w:r>
      <w:r>
        <w:t>n</w:t>
      </w:r>
      <w:r>
        <w:t>günstigere Behandlung gewähren, als sie in vergleichbaren Situationen Investoren und Investitionen von Investoren der Vertragspartei, der sie angehört, zuteil ko</w:t>
      </w:r>
      <w:r>
        <w:t>m</w:t>
      </w:r>
      <w:r>
        <w:t>men lassen.</w:t>
      </w:r>
    </w:p>
    <w:p>
      <w:pPr>
        <w:pStyle w:val="Heading9"/>
      </w:pPr>
      <w:r>
        <w:rPr>
          <w:b/>
          <w:bCs/>
        </w:rPr>
        <w:t>Art. 41</w:t>
      </w:r>
      <w:r>
        <w:tab/>
        <w:t>Besteuerung</w:t>
      </w:r>
    </w:p>
    <w:p>
      <w:pPr>
        <w:pStyle w:val="Absatz"/>
      </w:pPr>
      <w:r>
        <w:t>1.  Sofern in diesem Artikel nichts anderes vorgesehen ist, begründet keine Besti</w:t>
      </w:r>
      <w:r>
        <w:t>m</w:t>
      </w:r>
      <w:r>
        <w:t>mung in diesem Kapitel Rechte oder Pflichten in Bezug auf fiskalische Massna</w:t>
      </w:r>
      <w:r>
        <w:t>h</w:t>
      </w:r>
      <w:r>
        <w:t>men.</w:t>
      </w:r>
    </w:p>
    <w:p>
      <w:pPr>
        <w:pStyle w:val="Absatz"/>
      </w:pPr>
      <w:r>
        <w:t>2.  Artikel 40 findet Anwendung auf fiskalische Massnahmen, ausser bei Abwe</w:t>
      </w:r>
      <w:r>
        <w:t>i</w:t>
      </w:r>
      <w:r>
        <w:t>chungen von der Inländerbehandlung, die für eine gerechte oder tatsächlich wirk</w:t>
      </w:r>
      <w:r>
        <w:softHyphen/>
        <w:t>same Festsetzung oder Erhebung direkter Steuern notwendig sind</w:t>
      </w:r>
      <w:r>
        <w:rPr>
          <w:rStyle w:val="FootnoteReference"/>
          <w:noProof w:val="0"/>
          <w:lang w:val="de-CH" w:eastAsia="de-DE"/>
        </w:rPr>
        <w:footnoteReference w:id="29"/>
      </w:r>
      <w:r>
        <w:t>.</w:t>
      </w:r>
    </w:p>
    <w:p>
      <w:pPr>
        <w:pStyle w:val="Absatz"/>
      </w:pPr>
      <w:r>
        <w:t>3.  Gewährt eine Vertragspartei den Investoren irgend eines anderen Staates und deren Investitionen besondere Vorteile auf Grund eines Abkommens zur Verme</w:t>
      </w:r>
      <w:r>
        <w:t>i</w:t>
      </w:r>
      <w:r>
        <w:t>dung der Doppelbesteuerung, so ist sie nicht verpflichtet, solche Vorteile den Inves</w:t>
      </w:r>
      <w:r>
        <w:softHyphen/>
        <w:t>toren einer anderen Vertragspartei und deren Investitionen einzuräumen.</w:t>
      </w:r>
    </w:p>
    <w:p>
      <w:pPr>
        <w:pStyle w:val="Heading9"/>
      </w:pPr>
      <w:r>
        <w:rPr>
          <w:b/>
          <w:bCs/>
        </w:rPr>
        <w:t>Art. 42</w:t>
      </w:r>
      <w:r>
        <w:tab/>
        <w:t>Enteignung, Entschädigung</w:t>
      </w:r>
    </w:p>
    <w:p>
      <w:pPr>
        <w:pStyle w:val="Absatz"/>
      </w:pPr>
      <w:r>
        <w:t xml:space="preserve">1.  Keine Vertragspartei darf </w:t>
      </w:r>
      <w:r>
        <w:rPr>
          <w:i/>
          <w:iCs/>
        </w:rPr>
        <w:t>de jure</w:t>
      </w:r>
      <w:r>
        <w:t xml:space="preserve"> oder </w:t>
      </w:r>
      <w:r>
        <w:rPr>
          <w:i/>
          <w:iCs/>
        </w:rPr>
        <w:t>de facto</w:t>
      </w:r>
      <w:r>
        <w:t xml:space="preserve"> Enteignungs- oder Verstaat-lichungsmassnahmen gegenüber Investitionen von Investoren einer anderen Ve</w:t>
      </w:r>
      <w:r>
        <w:t>r</w:t>
      </w:r>
      <w:r>
        <w:t>tragspartei ergreifen, es sei denn, solche Massnahmen erfolgten im öffentlichen Int</w:t>
      </w:r>
      <w:r>
        <w:t>e</w:t>
      </w:r>
      <w:r>
        <w:t>resse, in nicht diskriminierender Weise und gemäss den dafür vorgesehenen gesetzlichen Verfahren und vorausgesetzt, sie gehen mit der Zahlung von Entsch</w:t>
      </w:r>
      <w:r>
        <w:t>ä</w:t>
      </w:r>
      <w:r>
        <w:t>digung einher. Der Entschädigungsbetrag ist in einer frei konvertierbaren Währung zu begleichen und der berechtigten Person ohne Verzug und unabhängig von deren Wohn- und Geschäftssitz auszuzahlen.</w:t>
      </w:r>
    </w:p>
    <w:p>
      <w:pPr>
        <w:pStyle w:val="Absatz"/>
      </w:pPr>
      <w:r>
        <w:t>2.  Investoren einer Vertragspartei, deren Investitionen auf dem Hoheitsgebiet einer anderen Vertragspartei als Folge eines bewaffneten Konflikts oder Aufruhrs auf dem Hoheitsgebiet der anderen Vertragspartei Schaden erlitten haben, haben in Bezug auf solche Schäden Anspruch auf eine Behandlung gemäss Artikel 40, soweit es um Rückerstattung, Entschädigung, Abfindung oder andere Entgelte geht.</w:t>
      </w:r>
    </w:p>
    <w:p>
      <w:pPr>
        <w:pStyle w:val="Heading9"/>
      </w:pPr>
      <w:r>
        <w:rPr>
          <w:b/>
          <w:bCs/>
        </w:rPr>
        <w:t>Art. 43</w:t>
      </w:r>
      <w:r>
        <w:tab/>
        <w:t>Innerstaatliche Regelung</w:t>
      </w:r>
    </w:p>
    <w:p>
      <w:pPr>
        <w:pStyle w:val="Absatz"/>
      </w:pPr>
      <w:r>
        <w:t>Dieses Kapitel darf nicht so ausgelegt werden, als hindere es eine Vertragspartei daran, mit diesem Kapitel vereinbare Massnahmen zu treffen, beizubehalten oder zu vollziehen, die im öffentlichen Interesse liegen, wie namentlich Massnahmen, die auf Grund von Gesundheits-, Sicherheits- oder Umweltanliegen getroffen werden.</w:t>
      </w:r>
    </w:p>
    <w:p>
      <w:pPr>
        <w:pStyle w:val="Heading9"/>
      </w:pPr>
      <w:r>
        <w:rPr>
          <w:b/>
          <w:bCs/>
        </w:rPr>
        <w:t>Art. 44</w:t>
      </w:r>
      <w:r>
        <w:tab/>
        <w:t>Transfers</w:t>
      </w:r>
    </w:p>
    <w:p>
      <w:pPr>
        <w:pStyle w:val="Absatz"/>
      </w:pPr>
      <w:r>
        <w:t>1.  Jede Vertragspartei gewährt in Bezug auf Investitionen, die Investoren einer anderen Vertragspartei auf ihrem Hoheitsgebiet getätigt haben, den freien und u</w:t>
      </w:r>
      <w:r>
        <w:t>n</w:t>
      </w:r>
      <w:r>
        <w:t>verzüglichen Transfer von Zahlungen nach und aus ihrem Hoheitsgebiet. Solche Tran</w:t>
      </w:r>
      <w:r>
        <w:t>s</w:t>
      </w:r>
      <w:r>
        <w:t>fers umfassen insbesondere, aber nicht ausschliesslich:</w:t>
      </w:r>
    </w:p>
    <w:p>
      <w:pPr>
        <w:pStyle w:val="Struktur1"/>
      </w:pPr>
      <w:r>
        <w:t>(a)</w:t>
        <w:tab/>
        <w:t>Erträge, Zinsen, Dividenden, Kapitalgewinne, Lizenzgebühren und Hono</w:t>
      </w:r>
      <w:r>
        <w:softHyphen/>
        <w:t>rare sowie alle anderen Beträge, die sich aus einer Investition ergeben;</w:t>
      </w:r>
    </w:p>
    <w:p>
      <w:pPr>
        <w:pStyle w:val="Struktur1"/>
      </w:pPr>
      <w:r>
        <w:t>(b)</w:t>
        <w:tab/>
        <w:t>Zahlungen, die im Rahmen von Verträgen, einschliesslich Darlehensvertr</w:t>
      </w:r>
      <w:r>
        <w:t>ä</w:t>
      </w:r>
      <w:r>
        <w:t>gen, getätigt werden;</w:t>
      </w:r>
    </w:p>
    <w:p>
      <w:pPr>
        <w:pStyle w:val="Struktur1"/>
      </w:pPr>
      <w:r>
        <w:t>(c)</w:t>
        <w:tab/>
        <w:t>zusätzliche Kapitalleistungen für den Unterhalt oder die Erweiterung einer Investition;</w:t>
      </w:r>
    </w:p>
    <w:p>
      <w:pPr>
        <w:pStyle w:val="Struktur1"/>
      </w:pPr>
      <w:r>
        <w:t>(d)</w:t>
        <w:tab/>
        <w:t>Erlöse aus dem teilweisen oder vollständigen Verkauf oder der teilweisen oder vollständigen Liquidation einer Investition; und</w:t>
      </w:r>
    </w:p>
    <w:p>
      <w:pPr>
        <w:pStyle w:val="Struktur1"/>
      </w:pPr>
      <w:r>
        <w:t>(e)</w:t>
        <w:tab/>
        <w:t>Einkommen und andere Entschädigungen von Personal, das in Verbindung mit einer Investition aus dem Ausland angestellt wird.</w:t>
      </w:r>
    </w:p>
    <w:p>
      <w:pPr>
        <w:pStyle w:val="Absatz"/>
      </w:pPr>
      <w:r>
        <w:t>2.  Ein Transfer gilt dann als «unverzüglich» erfolgt, wenn er innerhalb einer Frist vorgenommen wird, die für die Erfüllung der Transferformalitäten, einschliesslich vorgeschriebener Meldungen über Devisentransfers, üblicherweise benötigt wird.</w:t>
      </w:r>
    </w:p>
    <w:p>
      <w:pPr>
        <w:pStyle w:val="Absatz"/>
      </w:pPr>
      <w:r>
        <w:t>3.  Jede Vertragspartei erlaubt, dass solche Transfers in einer frei konvertierbaren Währung erfolgen. «Frei konvertierbare Währung» bedeutet eine Währung, die an den internationalen Devisenmärkten verbreitet gehandelt und bei internationalen Transaktionen verbreitet benutzt wird.</w:t>
      </w:r>
    </w:p>
    <w:p>
      <w:pPr>
        <w:pStyle w:val="Absatz"/>
      </w:pPr>
      <w:r>
        <w:t>4.  Die Absätze 1 bis 3 stehen einer gerechten, nicht diskriminierenden und in guten Treuen erfolgenden Anwendung von Vorschriften nicht entgegen, die im Zusa</w:t>
      </w:r>
      <w:r>
        <w:t>m</w:t>
      </w:r>
      <w:r>
        <w:t>menhang stehen mit:</w:t>
      </w:r>
    </w:p>
    <w:p>
      <w:pPr>
        <w:pStyle w:val="Struktur1"/>
      </w:pPr>
      <w:r>
        <w:t>(a)</w:t>
        <w:tab/>
        <w:t>Konkurs-, Insolvenzverfahren oder dem Gläubigerschutz;</w:t>
      </w:r>
    </w:p>
    <w:p>
      <w:pPr>
        <w:pStyle w:val="Struktur1"/>
      </w:pPr>
      <w:r>
        <w:t>(b)</w:t>
        <w:tab/>
        <w:t>der Ausgabe, dem Handel oder dem Verkehr mit Wertpapieren;</w:t>
      </w:r>
    </w:p>
    <w:p>
      <w:pPr>
        <w:pStyle w:val="Struktur1"/>
      </w:pPr>
      <w:r>
        <w:t>(c)</w:t>
        <w:tab/>
        <w:t>Straftaten und der Beschlagnahmung von Geldern kriminellen Ursprungs;</w:t>
      </w:r>
    </w:p>
    <w:p>
      <w:pPr>
        <w:pStyle w:val="Struktur1"/>
      </w:pPr>
      <w:r>
        <w:t>(d)</w:t>
        <w:tab/>
        <w:t>der Durchsetzung von Entscheiden in gerichtlichen Verfahren.</w:t>
      </w:r>
    </w:p>
    <w:p>
      <w:pPr>
        <w:pStyle w:val="Absatz"/>
      </w:pPr>
      <w:r>
        <w:t>5.  Die Absätze 1 bis 3 lassen Verpflichtungen im Zusammenhang mit Steuergese</w:t>
      </w:r>
      <w:r>
        <w:t>t</w:t>
      </w:r>
      <w:r>
        <w:t>zen oder der Sozialversicherung und der öffentlichen Altersvorsorge unberührt.</w:t>
      </w:r>
    </w:p>
    <w:p>
      <w:pPr>
        <w:pStyle w:val="Heading9"/>
      </w:pPr>
      <w:r>
        <w:rPr>
          <w:b/>
          <w:bCs/>
        </w:rPr>
        <w:t>Art. 45</w:t>
      </w:r>
      <w:r>
        <w:tab/>
        <w:t>Personal in Schlüsselpositionen</w:t>
      </w:r>
    </w:p>
    <w:p>
      <w:pPr>
        <w:pStyle w:val="Absatz"/>
      </w:pPr>
      <w:r>
        <w:t>1.  Die Vertragsparteien gewähren, vorbehaltlich ihrer Gesetze und sonstigen Vo</w:t>
      </w:r>
      <w:r>
        <w:t>r</w:t>
      </w:r>
      <w:r>
        <w:t>schriften über die Einreise, den Aufenthalt und die Beschäftigung natürlicher Pers</w:t>
      </w:r>
      <w:r>
        <w:t>o</w:t>
      </w:r>
      <w:r>
        <w:t>nen, den Investoren einer anderen Vertragspartei sowie Personen in Schlüsselposit</w:t>
      </w:r>
      <w:r>
        <w:t>i</w:t>
      </w:r>
      <w:r>
        <w:t>onen (Kader, Manager und Spezialisten, wie von der die Bewilligung erteilenden Vertragspartei in den horizontalen Verpflichtungen ihres Appendix zu Anhang VII als «innerbetrieblich versetzte Beschäftigte» definiert), die von diesen Investoren oder von Investitionen dieser Investoren angestellt werden, eine temporäre Einreise</w:t>
      </w:r>
      <w:r>
        <w:noBreakHyphen/>
        <w:t>, Aufenthalts- und Arbeitsbewilligung in ihrem Hoheitsgebiet, damit diese Tätigkeiten im Zusammenhang mit der Errichtung, der Verwaltung, der Verwendung, der Nu</w:t>
      </w:r>
      <w:r>
        <w:t>t</w:t>
      </w:r>
      <w:r>
        <w:t>zung, der Erweiterung oder der Veräusserung der betreffenden Investitionen au</w:t>
      </w:r>
      <w:r>
        <w:t>s</w:t>
      </w:r>
      <w:r>
        <w:t>üben können.</w:t>
      </w:r>
    </w:p>
    <w:p>
      <w:pPr>
        <w:pStyle w:val="Absatz"/>
        <w:rPr>
          <w:sz w:val="20"/>
        </w:rPr>
      </w:pPr>
      <w:r>
        <w:t>2.  Eine Vertragspartei erlaubt, vorbehaltlich ihrer Gesetze und sonstigen Vor</w:t>
      </w:r>
      <w:r>
        <w:softHyphen/>
        <w:t>schriften, Investoren einer anderen Vertragspartei, die über Investitionen ihrem Hoheitsgebiet verfügen, und Investitionen dieser Investoren, Personen in Schlüsse</w:t>
      </w:r>
      <w:r>
        <w:t>l</w:t>
      </w:r>
      <w:r>
        <w:t>positionen nach Wahl des Investors oder der Investition ungeachtet ihrer Staats</w:t>
      </w:r>
      <w:r>
        <w:softHyphen/>
        <w:t>angehörigkeit und Staatsbürgerschaft zu beschäftigen, sofern solchen Personen b</w:t>
      </w:r>
      <w:r>
        <w:t>e</w:t>
      </w:r>
      <w:r>
        <w:t>willigt worden ist, in das Gebiet der ersteren Vertragspartei einzureisen, sich dort aufzuhalten und dort zu arbeiten, und die betreffende Beschäftigung den in der B</w:t>
      </w:r>
      <w:r>
        <w:t>e</w:t>
      </w:r>
      <w:r>
        <w:t>willigung für diese Person genannten Bedingungen, Auflagen und Befristungen en</w:t>
      </w:r>
      <w:r>
        <w:t>t</w:t>
      </w:r>
      <w:r>
        <w:t>spricht.</w:t>
      </w:r>
    </w:p>
    <w:p>
      <w:pPr>
        <w:pStyle w:val="Absatz"/>
      </w:pPr>
      <w:r>
        <w:t>3.  Die Vertragsparteien werden ermutigt, vorbehaltlich ihrer Gesetze und sonstigen Vorschriften, dem Ehemann oder der Ehefrau und den minderjährigen Kindern eines Investors einer anderen Vertragspartei und der von solchen Investoren in Schlüsse</w:t>
      </w:r>
      <w:r>
        <w:t>l</w:t>
      </w:r>
      <w:r>
        <w:t>positionen angestellten Personen, die eine temporäre Einreise-, Aufenthalts- und Arbeitsbewilligung erhalten haben, vorübergehend die Einreise und den Aufenthalt zu gewähren.</w:t>
      </w:r>
    </w:p>
    <w:p>
      <w:pPr>
        <w:pStyle w:val="Heading9"/>
      </w:pPr>
      <w:r>
        <w:rPr>
          <w:b/>
          <w:bCs/>
        </w:rPr>
        <w:t>Art. 46</w:t>
      </w:r>
      <w:r>
        <w:tab/>
        <w:t>Vorbehalte</w:t>
      </w:r>
    </w:p>
    <w:p>
      <w:pPr>
        <w:pStyle w:val="Absatz"/>
      </w:pPr>
      <w:r>
        <w:t>1.  Artikel 40 Absatz 1 findet keine Anwendung auf:</w:t>
      </w:r>
    </w:p>
    <w:p>
      <w:pPr>
        <w:pStyle w:val="Struktur1"/>
      </w:pPr>
      <w:r>
        <w:t>(a)</w:t>
        <w:tab/>
        <w:t>Vorbehalte, die von einer Vertragspartei in Anhang XI aufgelistet werden;</w:t>
      </w:r>
    </w:p>
    <w:p>
      <w:pPr>
        <w:pStyle w:val="Struktur1"/>
      </w:pPr>
      <w:r>
        <w:t>(b)</w:t>
        <w:tab/>
        <w:t>Änderungen zu einem Vorbehalt gemäss Unterabsatz (a), sofern diese Änd</w:t>
      </w:r>
      <w:r>
        <w:t>e</w:t>
      </w:r>
      <w:r>
        <w:t>rungen nicht die Vereinbarkeit des Vorbehalts mit Artikel 40 vermindern;</w:t>
      </w:r>
    </w:p>
    <w:p>
      <w:pPr>
        <w:pStyle w:val="Struktur1"/>
      </w:pPr>
      <w:r>
        <w:t>(c)</w:t>
        <w:tab/>
        <w:t>jeden neuen Vorbehalt, der von einer Vertragspartei beschlossen und A</w:t>
      </w:r>
      <w:r>
        <w:t>n</w:t>
      </w:r>
      <w:r>
        <w:t>hang XI hinzugefügt wird, sofern dieser Vorbehalt nicht das gesamthafte Verpflichtungsniveau der betreffenden Vertragspartei unter diesem Kapitel beeinträchtigt;</w:t>
      </w:r>
    </w:p>
    <w:p>
      <w:pPr>
        <w:pStyle w:val="Absatz"/>
        <w:rPr>
          <w:highlight w:val="yellow"/>
        </w:rPr>
      </w:pPr>
      <w:r>
        <w:t>soweit solche Vorbehalte mit dem erwähnten Artikel unvereinbar sind.</w:t>
      </w:r>
    </w:p>
    <w:p>
      <w:pPr>
        <w:pStyle w:val="Absatz"/>
      </w:pPr>
      <w:r>
        <w:t>2.  Die Vertragsparteien überprüfen mindestens alle zwei Jahre den Status der in Anhang XI aufgeführten Vorbehalte, um diese allenfalls zu verringern oder aufz</w:t>
      </w:r>
      <w:r>
        <w:t>u</w:t>
      </w:r>
      <w:r>
        <w:t>heben.</w:t>
      </w:r>
    </w:p>
    <w:p>
      <w:pPr>
        <w:pStyle w:val="Absatz"/>
      </w:pPr>
      <w:r>
        <w:t>3.  Eine Vertragspartei kann, entweder auf Ersuchen einer anderen Vertragspartei oder einseitig, mit einer schriftlichen Notifikation an die anderen Vertragsparteien jederzeit in Anhang XI aufgeführte Vorbehalte teilweise oder vollständig aufheben.</w:t>
      </w:r>
    </w:p>
    <w:p>
      <w:pPr>
        <w:pStyle w:val="Absatz"/>
      </w:pPr>
      <w:r>
        <w:t>4.  Eine Vertragspartei kann nach Absatz 1 Buchstabe (c) mit einer schriftlichen Mitteilung an die anderen Vertragsparteien jederzeit einen neuen Vorbehalt in Anhang XI aufnehmen. Nach Erhalt einer solchen Mitteilung können die anderen Ve</w:t>
      </w:r>
      <w:r>
        <w:t>r</w:t>
      </w:r>
      <w:r>
        <w:t>tragsparteien um die Aufnahme von Konsultationen über diesen Vorbehalt ersuchen. Sobald die Vertragspartei, welche den neuen Vorbehalt aufnimmt, ein entsprechendes Gesuch erhält, nimmt sie Konsultationen mit den anderen Vertrag</w:t>
      </w:r>
      <w:r>
        <w:t>s</w:t>
      </w:r>
      <w:r>
        <w:t>parteien auf.</w:t>
      </w:r>
    </w:p>
    <w:p>
      <w:pPr>
        <w:pStyle w:val="Heading9"/>
      </w:pPr>
      <w:r>
        <w:rPr>
          <w:b/>
          <w:bCs/>
        </w:rPr>
        <w:t>Art. 47</w:t>
      </w:r>
      <w:r>
        <w:tab/>
        <w:t>Subrogation</w:t>
      </w:r>
    </w:p>
    <w:p>
      <w:pPr>
        <w:pStyle w:val="Absatz"/>
      </w:pPr>
      <w:r>
        <w:t>Leistet eine Vertragspartei (oder eine von ihr bezeichnete Geschäftsstelle, Institu</w:t>
      </w:r>
      <w:r>
        <w:softHyphen/>
        <w:t>tion, Behörde oder Körperschaft) auf Grund einer für eine Investition oder Teile d</w:t>
      </w:r>
      <w:r>
        <w:t>a</w:t>
      </w:r>
      <w:r>
        <w:t>von gewährten Garantie eine Zahlung an eigene Investoren in Verbindung mit deren Ansprüchen unter diesem Kapitel, so anerkennt die andere Vertragspartei auf Grund des Subrogationsprinzips den Übergang der Rechte und Ansprüche der Inve</w:t>
      </w:r>
      <w:r>
        <w:t>s</w:t>
      </w:r>
      <w:r>
        <w:t>toren auf die erste Vertragspartei (oder eine von ihr bezeichnete Geschäftsstelle, Institut</w:t>
      </w:r>
      <w:r>
        <w:t>i</w:t>
      </w:r>
      <w:r>
        <w:t>on, Behörde oder Körperschaft). Die übertragenen Rechte oder Ansprüche sollen nicht über die ursprünglichen Rechte oder Ansprüche solcher Investoren hinausg</w:t>
      </w:r>
      <w:r>
        <w:t>e</w:t>
      </w:r>
      <w:r>
        <w:t>hen.</w:t>
      </w:r>
    </w:p>
    <w:p>
      <w:pPr>
        <w:pStyle w:val="Heading9"/>
      </w:pPr>
      <w:r>
        <w:rPr>
          <w:b/>
          <w:bCs/>
        </w:rPr>
        <w:t>Art. 48</w:t>
      </w:r>
      <w:r>
        <w:tab/>
        <w:t>Streitigkeiten zwischen einem Investor und einer Vertragspartei</w:t>
      </w:r>
    </w:p>
    <w:p>
      <w:pPr>
        <w:pStyle w:val="Absatz"/>
      </w:pPr>
      <w:r>
        <w:t>1.  Ist ein Investor einer Vertragspartei der Auffassung, eine von einer anderen Ve</w:t>
      </w:r>
      <w:r>
        <w:t>r</w:t>
      </w:r>
      <w:r>
        <w:t>tragspartei angewendete Massnahme sei mit einer Verpflichtung nach diesem Kap</w:t>
      </w:r>
      <w:r>
        <w:t>i</w:t>
      </w:r>
      <w:r>
        <w:t>tel unvereinbar und füge daher ihm oder seiner Investition Schaden zu, so kann er Konsultationen beantragen, um die Angelegenheit gütlich beizulegen.</w:t>
      </w:r>
    </w:p>
    <w:p>
      <w:pPr>
        <w:pStyle w:val="Absatz"/>
      </w:pPr>
      <w:r>
        <w:t>2.  Führen diese Konsultationen innerhalb von sechs Monaten seit dem Antrag, solche aufzunehmen, nicht zu einer Lösung, so kann die Angelegenheit einem G</w:t>
      </w:r>
      <w:r>
        <w:t>e</w:t>
      </w:r>
      <w:r>
        <w:t>richts</w:t>
      </w:r>
      <w:r>
        <w:softHyphen/>
        <w:t>hof oder Verwaltungsgericht der betreffenden Vertragspartei, oder, falls beide Streitparteien einverstanden sind, einer der folgenden Stellen oder Verfahren unte</w:t>
      </w:r>
      <w:r>
        <w:t>r</w:t>
      </w:r>
      <w:r>
        <w:t>breitet werden:</w:t>
      </w:r>
    </w:p>
    <w:p>
      <w:pPr>
        <w:pStyle w:val="Struktur1"/>
      </w:pPr>
      <w:r>
        <w:t>(a)</w:t>
        <w:tab/>
        <w:t>der Schiedsgerichtsbarkeit unter dem Übereinkommen vom 18. März 1965 zur Beilegung von Investitionsstreitigkeiten zwischen Staaten und Angeh</w:t>
      </w:r>
      <w:r>
        <w:t>ö</w:t>
      </w:r>
      <w:r>
        <w:t>rigen anderer Staaten</w:t>
      </w:r>
      <w:r>
        <w:rPr>
          <w:rStyle w:val="FootnoteReference"/>
          <w:noProof w:val="0"/>
          <w:lang w:val="de-CH" w:eastAsia="de-DE"/>
        </w:rPr>
        <w:footnoteReference w:id="30"/>
      </w:r>
      <w:r>
        <w:t xml:space="preserve"> (das «ICSID-Übereinkommen»), falls dieses Übe</w:t>
      </w:r>
      <w:r>
        <w:t>r</w:t>
      </w:r>
      <w:r>
        <w:t>einkommen anwendbar ist;</w:t>
      </w:r>
    </w:p>
    <w:p>
      <w:pPr>
        <w:pStyle w:val="Struktur1"/>
      </w:pPr>
      <w:r>
        <w:t>(b)</w:t>
        <w:tab/>
        <w:t>dem Schlichtungsverfahren oder der Schiedsgerichtsbarkeit gemäss den «Addit</w:t>
      </w:r>
      <w:r>
        <w:softHyphen/>
        <w:t>ional Facility»-Regeln des Internationalen Zentrums zur Beilegung von Investitionsstreitigkeiten;</w:t>
      </w:r>
    </w:p>
    <w:p>
      <w:pPr>
        <w:pStyle w:val="Struktur1"/>
      </w:pPr>
      <w:r>
        <w:t>(c)</w:t>
        <w:tab/>
        <w:t>der Schiedsgerichtsbarkeit der Kommission der Vereinten Nationen für I</w:t>
      </w:r>
      <w:r>
        <w:t>n</w:t>
      </w:r>
      <w:r>
        <w:t>ter</w:t>
      </w:r>
      <w:r>
        <w:softHyphen/>
        <w:t>nationales Handelsrecht (UNCITRAL).</w:t>
      </w:r>
    </w:p>
    <w:p>
      <w:pPr>
        <w:pStyle w:val="Absatz"/>
      </w:pPr>
      <w:r>
        <w:t>3.  Eine Vertragspartei kann mit den Investoren einer anderen Vertragspartei ve</w:t>
      </w:r>
      <w:r>
        <w:t>r</w:t>
      </w:r>
      <w:r>
        <w:t>traglich Vereinbarungen abschliessen, in denen sie ihre unbedingte und unwiderru</w:t>
      </w:r>
      <w:r>
        <w:t>f</w:t>
      </w:r>
      <w:r>
        <w:t>liche Zustimmung dazu gibt, dass alle oder gewisse Arten von Streitigkeiten einem internationalen Schiedsverfahren gemäss Absatz 2 unterworfen werden. Solche Ve</w:t>
      </w:r>
      <w:r>
        <w:t>r</w:t>
      </w:r>
      <w:r>
        <w:t>einbarungen können dem Depositar dieses Abkommens notifiziert werden.</w:t>
      </w:r>
    </w:p>
    <w:p>
      <w:pPr>
        <w:pStyle w:val="Heading9"/>
      </w:pPr>
      <w:r>
        <w:rPr>
          <w:b/>
          <w:bCs/>
        </w:rPr>
        <w:t>Art. 49</w:t>
      </w:r>
      <w:r>
        <w:tab/>
        <w:t>Ausnahmen</w:t>
      </w:r>
    </w:p>
    <w:p>
      <w:pPr>
        <w:pStyle w:val="Absatz"/>
      </w:pPr>
      <w:r>
        <w:t>Die folgenden Bestimmungen sind auf dieses Kapitel sinngemäss anwendbar:</w:t>
      </w:r>
    </w:p>
    <w:p>
      <w:pPr>
        <w:pStyle w:val="Absatz"/>
      </w:pPr>
      <w:r>
        <w:t>die Artikel 33, 34 und 35 sowie Artikel 19 Buchstaben (e)–(g).</w:t>
      </w:r>
    </w:p>
    <w:p>
      <w:pPr>
        <w:pStyle w:val="Abstand18pt"/>
        <w:rPr>
          <w:snapToGrid w:val="0"/>
        </w:rPr>
      </w:pPr>
    </w:p>
    <w:p>
      <w:pPr>
        <w:pStyle w:val="Heading1"/>
      </w:pPr>
      <w:r>
        <w:t>V</w:t>
        <w:tab/>
        <w:t>Wettbewerb</w:t>
      </w:r>
    </w:p>
    <w:p>
      <w:pPr>
        <w:pStyle w:val="Heading9"/>
      </w:pPr>
      <w:r>
        <w:rPr>
          <w:b/>
          <w:bCs/>
        </w:rPr>
        <w:t>Art. 50</w:t>
      </w:r>
      <w:r>
        <w:tab/>
        <w:t>Wettbewerb</w:t>
      </w:r>
    </w:p>
    <w:p>
      <w:pPr>
        <w:pStyle w:val="Absatz"/>
      </w:pPr>
      <w:r>
        <w:t>1.  Die Vertragsparteien anerkennen, dass gewisse Geschäftspraktiken wie wett</w:t>
      </w:r>
      <w:r>
        <w:softHyphen/>
        <w:t>bewerbswidrige Vereinbarungen oder aufeinander abgestimmte Verhaltensweisen sowie der Missbrauch einer marktbeherrschenden Stellung den Handel zwischen den Vertragsparteien behindern können.</w:t>
      </w:r>
    </w:p>
    <w:p>
      <w:pPr>
        <w:pStyle w:val="Absatz"/>
      </w:pPr>
      <w:r>
        <w:t>2.  Eine Vertragspartei nimmt auf Ersuchen einer anderen Vertragspartei Konsultat</w:t>
      </w:r>
      <w:r>
        <w:t>i</w:t>
      </w:r>
      <w:r>
        <w:t>onen auf mit dem Ziel, die in Absatz 1 erwähnten Verhaltensweisen zu beseitigen. Die angefragte Vertragspartei nimmt dieses Ersuchen uneingeschränkt und woh</w:t>
      </w:r>
      <w:r>
        <w:t>l</w:t>
      </w:r>
      <w:r>
        <w:t>wollend entgegen, zeigt sich hilfsbereit, indem sie öffentlich zugängliche nicht ve</w:t>
      </w:r>
      <w:r>
        <w:t>r</w:t>
      </w:r>
      <w:r>
        <w:t>trauliche Informationen zur Verfügung stellt, die für die Sachfrage relevant sind. Vorbehaltlich ihrer Gesetzgebung und des Abschlusses einer zufriedenstellenden Vereinbarung über die Sicherstellung der Vertraulichkeit der Informationen stellt die Vertragspartei der ersuchenden Vertragspartei jede weitere verfügbare Inform</w:t>
      </w:r>
      <w:r>
        <w:t>a</w:t>
      </w:r>
      <w:r>
        <w:t>tion zur Verfügung.</w:t>
      </w:r>
    </w:p>
    <w:p>
      <w:pPr>
        <w:pStyle w:val="Absatz"/>
      </w:pPr>
      <w:r>
        <w:t>3.  Keine Vertragspartei wird im Zusammenhang mit Fragen, die sich auf Grund dieses Kapitels ergeben, die Aufnahme eines Schiedsverfahrens nach Kapitel IX ve</w:t>
      </w:r>
      <w:r>
        <w:t>r</w:t>
      </w:r>
      <w:r>
        <w:t>langen.</w:t>
      </w:r>
    </w:p>
    <w:p>
      <w:pPr>
        <w:pStyle w:val="Abstand18pt"/>
      </w:pPr>
    </w:p>
    <w:p>
      <w:pPr>
        <w:pStyle w:val="Heading1"/>
      </w:pPr>
      <w:r>
        <w:t>VI</w:t>
        <w:tab/>
        <w:t>Öffentliches Beschaffungswesen</w:t>
      </w:r>
    </w:p>
    <w:p>
      <w:pPr>
        <w:pStyle w:val="Heading9"/>
      </w:pPr>
      <w:r>
        <w:rPr>
          <w:b/>
          <w:bCs/>
        </w:rPr>
        <w:t>Art. 51</w:t>
      </w:r>
      <w:r>
        <w:tab/>
        <w:t>Geltungsbereich</w:t>
      </w:r>
    </w:p>
    <w:p>
      <w:pPr>
        <w:pStyle w:val="Absatz"/>
      </w:pPr>
      <w:r>
        <w:t>1.  Die Rechte und Pflichten der Vertragsparteien dieses Abkommens in Bezug auf das öffentliche Beschaffungswesen richten sich nach dem WTO-Übereinkommen über das öffentliche Beschaffungswesen.</w:t>
      </w:r>
      <w:r>
        <w:rPr>
          <w:rStyle w:val="FootnoteReference"/>
          <w:noProof w:val="0"/>
          <w:lang w:val="de-CH" w:eastAsia="de-DE"/>
        </w:rPr>
        <w:footnoteReference w:id="31"/>
      </w:r>
    </w:p>
    <w:p>
      <w:pPr>
        <w:pStyle w:val="Absatz"/>
      </w:pPr>
      <w:r>
        <w:t>2.  Die Vertragsparteien erklären sich zur Zusammenarbeit im Gemischten Au</w:t>
      </w:r>
      <w:r>
        <w:t>s</w:t>
      </w:r>
      <w:r>
        <w:t>schuss bereit, um die Kenntnisse über ihre jeweiligen öffentlichen Beschaffungs</w:t>
      </w:r>
      <w:r>
        <w:softHyphen/>
        <w:t>systeme zu vertiefen und die öffentlichen Beschaffungsmärkte weiter zu liberalisi</w:t>
      </w:r>
      <w:r>
        <w:t>e</w:t>
      </w:r>
      <w:r>
        <w:t>ren und gegenseitig zu öffnen.</w:t>
      </w:r>
    </w:p>
    <w:p>
      <w:pPr>
        <w:pStyle w:val="Heading9"/>
      </w:pPr>
      <w:r>
        <w:rPr>
          <w:b/>
          <w:bCs/>
        </w:rPr>
        <w:t>Art. 52</w:t>
      </w:r>
      <w:r>
        <w:tab/>
        <w:t>Informationsaustausch</w:t>
      </w:r>
    </w:p>
    <w:p>
      <w:pPr>
        <w:pStyle w:val="Absatz"/>
      </w:pPr>
      <w:r>
        <w:t>Die Vertragsparteien tauschen die Namen und Adressen von «Kontaktstellen» aus, die für die Abgabe von Informationen über die Regeln und Vorschriften im Bereich des öffentlichen Beschaffungswesens verantwortlich sind.</w:t>
      </w:r>
    </w:p>
    <w:p>
      <w:pPr>
        <w:pStyle w:val="Heading9"/>
      </w:pPr>
      <w:r>
        <w:rPr>
          <w:b/>
          <w:bCs/>
        </w:rPr>
        <w:t>Art. 53</w:t>
      </w:r>
      <w:r>
        <w:tab/>
        <w:t>Weitere Verhandlungen</w:t>
      </w:r>
    </w:p>
    <w:p>
      <w:pPr>
        <w:pStyle w:val="Absatz"/>
      </w:pPr>
      <w:r>
        <w:t xml:space="preserve">Gewährt nach Inkrafttreten dieses Abkommens eine Vertragspartei </w:t>
      </w:r>
      <w:r>
        <w:rPr>
          <w:color w:val="000000"/>
        </w:rPr>
        <w:t>einer Nichtve</w:t>
      </w:r>
      <w:r>
        <w:rPr>
          <w:color w:val="000000"/>
        </w:rPr>
        <w:t>r</w:t>
      </w:r>
      <w:r>
        <w:rPr>
          <w:color w:val="000000"/>
        </w:rPr>
        <w:t>tragspartei</w:t>
      </w:r>
      <w:r>
        <w:t xml:space="preserve"> zusätzliche Vorteile für den Zugang zu ihren öffentlichen Beschaffung</w:t>
      </w:r>
      <w:r>
        <w:t>s</w:t>
      </w:r>
      <w:r>
        <w:t>märkten, so wird sie sich mit der Aufnahme von Verhandlungen mit einer anderen Vertragspartei einverstanden erklären mit dem Ziel, diese Vorteile auf Gegenseiti</w:t>
      </w:r>
      <w:r>
        <w:t>g</w:t>
      </w:r>
      <w:r>
        <w:t>keit auf die andere Vertragspartei auszudehnen.</w:t>
      </w:r>
    </w:p>
    <w:p>
      <w:pPr>
        <w:pStyle w:val="Abstand18pt"/>
      </w:pPr>
    </w:p>
    <w:p>
      <w:pPr>
        <w:pStyle w:val="Heading1"/>
      </w:pPr>
      <w:r>
        <w:t>VII</w:t>
        <w:tab/>
        <w:t>Schutz des Geistigen Eigentums</w:t>
      </w:r>
    </w:p>
    <w:p>
      <w:pPr>
        <w:pStyle w:val="Heading9"/>
      </w:pPr>
      <w:r>
        <w:rPr>
          <w:b/>
          <w:bCs/>
        </w:rPr>
        <w:t>Art. 54</w:t>
      </w:r>
      <w:r>
        <w:tab/>
        <w:t>Schutz des Geistigen Eigentums</w:t>
      </w:r>
    </w:p>
    <w:p>
      <w:pPr>
        <w:pStyle w:val="Absatz"/>
      </w:pPr>
      <w:r>
        <w:t>1.  </w:t>
      </w:r>
      <w:r>
        <w:rPr>
          <w:snapToGrid w:val="0"/>
        </w:rPr>
        <w:t>Die Vertragsparteien erteilen und gewährleisten einen angemessenen und wir</w:t>
      </w:r>
      <w:r>
        <w:rPr>
          <w:snapToGrid w:val="0"/>
        </w:rPr>
        <w:t>k</w:t>
      </w:r>
      <w:r>
        <w:rPr>
          <w:snapToGrid w:val="0"/>
        </w:rPr>
        <w:t>samen Schutz der Rechte an Geistigem Eigentum. Sie treffen in Übereinstimmung mit den Bestimmungen dieses Artikels, des Anhangs XII sowie den darin erwähnten internationalen Abkommen Massnahmen zum Schutz dieser Rechte vor Verletzung, Fälschung und Nachahmung.</w:t>
      </w:r>
    </w:p>
    <w:p>
      <w:pPr>
        <w:pStyle w:val="Absatz"/>
        <w:rPr>
          <w:snapToGrid w:val="0"/>
        </w:rPr>
      </w:pPr>
      <w:r>
        <w:t>2.  </w:t>
      </w:r>
      <w:r>
        <w:rPr>
          <w:snapToGrid w:val="0"/>
        </w:rPr>
        <w:t>Die Vertragsparteien gewähren den Staatsangehörigen der anderen Vertragspa</w:t>
      </w:r>
      <w:r>
        <w:rPr>
          <w:snapToGrid w:val="0"/>
        </w:rPr>
        <w:t>r</w:t>
      </w:r>
      <w:r>
        <w:rPr>
          <w:snapToGrid w:val="0"/>
        </w:rPr>
        <w:t>teien eine Behandlung, die nicht weniger günstig ist als die, die sie ihren eigenen Staatsangehörigen gewähren. Ausnahmen von dieser Verpflichtung müssen in Übe</w:t>
      </w:r>
      <w:r>
        <w:rPr>
          <w:snapToGrid w:val="0"/>
        </w:rPr>
        <w:t>r</w:t>
      </w:r>
      <w:r>
        <w:rPr>
          <w:snapToGrid w:val="0"/>
        </w:rPr>
        <w:t>einstimmung mit den materiellen Bestimmungen des WTO-Abkommens über ha</w:t>
      </w:r>
      <w:r>
        <w:rPr>
          <w:snapToGrid w:val="0"/>
        </w:rPr>
        <w:t>n</w:t>
      </w:r>
      <w:r>
        <w:rPr>
          <w:snapToGrid w:val="0"/>
        </w:rPr>
        <w:t>delsbezogene Aspekte der Rechte an geistigem Eigentum</w:t>
      </w:r>
      <w:r>
        <w:rPr>
          <w:rStyle w:val="FootnoteReference"/>
          <w:noProof w:val="0"/>
          <w:snapToGrid w:val="0"/>
          <w:lang w:val="de-CH" w:eastAsia="de-DE"/>
        </w:rPr>
        <w:footnoteReference w:id="32"/>
      </w:r>
      <w:r>
        <w:rPr>
          <w:snapToGrid w:val="0"/>
        </w:rPr>
        <w:t xml:space="preserve"> (nachstehend TRIPS-Abkommen genannt) stehen, insbesondere mit dessen Artikeln 3 und 5.</w:t>
      </w:r>
    </w:p>
    <w:p>
      <w:pPr>
        <w:pStyle w:val="Absatz"/>
      </w:pPr>
      <w:r>
        <w:t>3.  </w:t>
      </w:r>
      <w:r>
        <w:rPr>
          <w:snapToGrid w:val="0"/>
        </w:rPr>
        <w:t>Die Vertragsparteien gewähren den Staatsangehörigen der anderen Vertrags</w:t>
      </w:r>
      <w:r>
        <w:rPr>
          <w:snapToGrid w:val="0"/>
        </w:rPr>
        <w:softHyphen/>
        <w:t>parteien eine Behandlung, die nicht weniger günstig ist als die, die sie den Staatsa</w:t>
      </w:r>
      <w:r>
        <w:rPr>
          <w:snapToGrid w:val="0"/>
        </w:rPr>
        <w:t>n</w:t>
      </w:r>
      <w:r>
        <w:rPr>
          <w:snapToGrid w:val="0"/>
        </w:rPr>
        <w:t>gehörigen eines anderen Staates gewähren. Ausnahmen von dieser Verpflichtung müssen in Übereinstimmung mit den materiellen Bestimmungen des TRIPS-Abkom</w:t>
      </w:r>
      <w:r>
        <w:rPr>
          <w:snapToGrid w:val="0"/>
        </w:rPr>
        <w:softHyphen/>
        <w:t>mens stehen, insbesondere mit dessen Artikeln 4 und 5.</w:t>
      </w:r>
    </w:p>
    <w:p>
      <w:pPr>
        <w:pStyle w:val="Absatz"/>
      </w:pPr>
      <w:r>
        <w:t>4.  Die Vertragsparteien vereinbaren, auf Antrag einer Vertragspartei an den G</w:t>
      </w:r>
      <w:r>
        <w:t>e</w:t>
      </w:r>
      <w:r>
        <w:t>mischten Ausschuss und sofern dieser sein Einverständnis erteilt, die in diesem A</w:t>
      </w:r>
      <w:r>
        <w:t>r</w:t>
      </w:r>
      <w:r>
        <w:t>tikel und in Anhang XII enthaltenen Bestimmungen zum Schutz der Rechte an Gei</w:t>
      </w:r>
      <w:r>
        <w:t>s</w:t>
      </w:r>
      <w:r>
        <w:t>tigem Eigentum zu überprüfen mit dem Ziel, den Umfang des Schutzes weiter zu verbessern und Handelsverzerrungen, die sich aus dem gegenwärtigen Schutz</w:t>
      </w:r>
      <w:r>
        <w:softHyphen/>
        <w:t>umfang der Rechte an Geistigem Eigentum ergeben, zu vermeiden oder zu beseit</w:t>
      </w:r>
      <w:r>
        <w:t>i</w:t>
      </w:r>
      <w:r>
        <w:t>gen.</w:t>
      </w:r>
    </w:p>
    <w:p>
      <w:pPr>
        <w:pStyle w:val="Abstand18pt"/>
      </w:pPr>
    </w:p>
    <w:p>
      <w:pPr>
        <w:pStyle w:val="Heading1"/>
      </w:pPr>
      <w:r>
        <w:t>VIII</w:t>
        <w:tab/>
        <w:t>Institutionelle Bestimmungen</w:t>
      </w:r>
    </w:p>
    <w:p>
      <w:pPr>
        <w:pStyle w:val="Heading9"/>
      </w:pPr>
      <w:bookmarkStart w:id="24" w:name="_Toc495831175"/>
      <w:bookmarkStart w:id="25" w:name="_Toc495980654"/>
      <w:bookmarkStart w:id="26" w:name="_Toc495986519"/>
      <w:r>
        <w:rPr>
          <w:b/>
          <w:bCs/>
        </w:rPr>
        <w:t>Art. 55</w:t>
      </w:r>
      <w:r>
        <w:tab/>
        <w:t>Der Gemischte Ausschuss</w:t>
      </w:r>
      <w:bookmarkEnd w:id="24"/>
      <w:bookmarkEnd w:id="25"/>
      <w:bookmarkEnd w:id="26"/>
    </w:p>
    <w:p>
      <w:pPr>
        <w:pStyle w:val="Absatz"/>
      </w:pPr>
      <w:r>
        <w:t xml:space="preserve">1.  Die Vertragsparteien setzen einen Gemischten Ausschuss EFTA-Singapur ein. Dieser setzt sich aus Vertretern beider Vertragsparteien zusammen. Minister oder hohe Beamte, die von den Vertragsparteien zu diesem Zweck delegiert werden, </w:t>
      </w:r>
      <w:r>
        <w:t>ü</w:t>
      </w:r>
      <w:r>
        <w:t>bernehmen gemeinsam den Vorsitz.</w:t>
      </w:r>
    </w:p>
    <w:p>
      <w:pPr>
        <w:pStyle w:val="Absatz"/>
      </w:pPr>
      <w:r>
        <w:t>2.  Der Gemischte Ausschuss:</w:t>
      </w:r>
    </w:p>
    <w:p>
      <w:pPr>
        <w:pStyle w:val="Struktur1"/>
      </w:pPr>
      <w:r>
        <w:t>(a)</w:t>
        <w:tab/>
        <w:t>beaufsichtigt die Durchführung dieses Abkommens;</w:t>
      </w:r>
    </w:p>
    <w:p>
      <w:pPr>
        <w:pStyle w:val="Struktur1"/>
      </w:pPr>
      <w:r>
        <w:t>(b)</w:t>
        <w:tab/>
        <w:t>beobachtet jede Möglichkeit zur weiteren Beseitigung von Handelsschra</w:t>
      </w:r>
      <w:r>
        <w:t>n</w:t>
      </w:r>
      <w:r>
        <w:t>ken und anderen restriktiven Massnahmen für den Handel zwischen den EFTA-Staaten und Singapur;</w:t>
      </w:r>
    </w:p>
    <w:p>
      <w:pPr>
        <w:pStyle w:val="Struktur1"/>
      </w:pPr>
      <w:r>
        <w:t>(c)</w:t>
        <w:tab/>
        <w:t>verfolgt die weitere Entwicklung dieses Abkommens;</w:t>
      </w:r>
    </w:p>
    <w:p>
      <w:pPr>
        <w:pStyle w:val="Struktur1"/>
      </w:pPr>
      <w:r>
        <w:t>(d)</w:t>
        <w:tab/>
        <w:t>beaufsichtigt die Arbeit aller im Rahmen dieses Abkommens eingesetzten Unterausschüsse und Arbeitsgruppen;</w:t>
      </w:r>
    </w:p>
    <w:p>
      <w:pPr>
        <w:pStyle w:val="Struktur1"/>
      </w:pPr>
      <w:r>
        <w:t>(e)</w:t>
        <w:tab/>
        <w:t>bemüht sich um die Beilegung von Streitigkeiten im Zusammenhang mit der Auslegung und der Anwendung dieses Abkommens; und</w:t>
      </w:r>
    </w:p>
    <w:p>
      <w:pPr>
        <w:pStyle w:val="Struktur1"/>
      </w:pPr>
      <w:r>
        <w:t>(f)</w:t>
        <w:tab/>
        <w:t>zieht jeden weiteren Gegenstand in Betracht, der die Durchführung dieses Abkommens beeinträchtigen könnte.</w:t>
      </w:r>
    </w:p>
    <w:p>
      <w:pPr>
        <w:pStyle w:val="Absatz"/>
      </w:pPr>
      <w:r>
        <w:t xml:space="preserve">3.  Der Gemischte Ausschuss entscheidet über die Einsetzung von Unterausschüssen und Arbeitsgruppen, die er zur Unterstützung bei der Erfüllung seiner Aufgaben als notwendig erachtet. Die Unterausschüsse </w:t>
      </w:r>
      <w:r>
        <w:rPr>
          <w:color w:val="000000"/>
        </w:rPr>
        <w:t>und Arbeitsgruppen arbeiten unter einem Arbeitsauftrag des Gemischten Ausschusses, mit Ausnahme der in diesem Abko</w:t>
      </w:r>
      <w:r>
        <w:rPr>
          <w:color w:val="000000"/>
        </w:rPr>
        <w:t>m</w:t>
      </w:r>
      <w:r>
        <w:rPr>
          <w:color w:val="000000"/>
        </w:rPr>
        <w:t>men ausdrücklich genannten Fälle.</w:t>
      </w:r>
    </w:p>
    <w:p>
      <w:pPr>
        <w:pStyle w:val="Absatz"/>
      </w:pPr>
      <w:r>
        <w:t>4.  Der Gemischte Ausschuss kann in den nach diesem Abkommen vorgesehenen Fällen Beschlüsse fassen. In den übrigen Fällen kann er Empfehlungen aussprechen.</w:t>
      </w:r>
    </w:p>
    <w:p>
      <w:pPr>
        <w:pStyle w:val="Absatz"/>
      </w:pPr>
      <w:r>
        <w:t>5.  Der Gemischte Ausschuss fasst Beschlüsse und erteilt Empfehlungen in gege</w:t>
      </w:r>
      <w:r>
        <w:t>n</w:t>
      </w:r>
      <w:r>
        <w:t>seitigem Einvernehmen.</w:t>
      </w:r>
    </w:p>
    <w:p>
      <w:pPr>
        <w:pStyle w:val="Absatz"/>
        <w:rPr>
          <w:b/>
          <w:bCs/>
        </w:rPr>
      </w:pPr>
      <w:r>
        <w:t>6.  Der Gemischte Ausschuss tritt nach Bedarf, aber üblicherweise einmal alle zwei Jahre zu einer ordentlichen Sitzung zusammen. Einer der EFTA-Staaten und Sing</w:t>
      </w:r>
      <w:r>
        <w:t>a</w:t>
      </w:r>
      <w:r>
        <w:t>pur übernehmen gemeinsam den Vorsitz der ordentlichen Sitzungen. Der Gemischte Ausschuss gibt sich eine Geschäftsordnung.</w:t>
      </w:r>
    </w:p>
    <w:p>
      <w:pPr>
        <w:pStyle w:val="Absatz"/>
      </w:pPr>
      <w:r>
        <w:t>7.  Jede Vertragspartei kann mittels schriftlicher Benachrichtigung an die anderen Vertragsparteien eine ausserordentliche Sitzung des Gemischten Ausschusses bea</w:t>
      </w:r>
      <w:r>
        <w:t>n</w:t>
      </w:r>
      <w:r>
        <w:t>tragen. Sofern nichts anderes vereinbart wird, findet die ausserordentliche Sitzung innerhalb von 30 Tagen nach Eingang des Antrags statt.</w:t>
      </w:r>
    </w:p>
    <w:p>
      <w:pPr>
        <w:pStyle w:val="Absatz"/>
      </w:pPr>
      <w:r>
        <w:t>8.  Der Gemischte Ausschuss kann auf Beschluss die Anhänge und die Appendizes dieses Abkommens ändern. Vorbehaltlich der Bestimmungen in Absatz 9 kann er den Zeitpunkt des Inkrafttretens solcher Beschlüsse festlegen.</w:t>
      </w:r>
    </w:p>
    <w:p>
      <w:pPr>
        <w:pStyle w:val="Absatz"/>
      </w:pPr>
      <w:r>
        <w:t>9.  Hat ein Vertreter einer Vertragspartei im Gemischten Ausschuss einen Beschluss unter Vorbehalt der Erfüllung verfassungsrechtlicher Vorschriften angenommen, so tritt der Beschluss, sofern darin kein späterer Zeitpunkt vorgesehen ist, an dem Tag in Kraft, an dem die letzte Vertragspartei notifiziert hat, dass ihre innerstaatlichen Verfahren erfüllt worden sind. Der Gemischte Ausschuss kann entscheiden, dass der Beschluss für jene Vertragsparteien in Kraft tritt, die ihre innerstaatlichen Verfahren erfüllt haben, vorausgesetzt, dass Singapur zu diesen Vertragsparteien gehört. Bis zu dessen Inkrafttreten kann eine Vertragspartei unter Vorbehalt ihrer verfassungsrech</w:t>
      </w:r>
      <w:r>
        <w:t>t</w:t>
      </w:r>
      <w:r>
        <w:t>lichen Vorschriften einen Beschluss des Gemischten Ausschusses vorläufig anwe</w:t>
      </w:r>
      <w:r>
        <w:t>n</w:t>
      </w:r>
      <w:r>
        <w:t>den.</w:t>
      </w:r>
    </w:p>
    <w:p>
      <w:pPr>
        <w:pStyle w:val="Abstand18pt"/>
      </w:pPr>
    </w:p>
    <w:p>
      <w:pPr>
        <w:pStyle w:val="Heading1"/>
        <w:rPr>
          <w:snapToGrid w:val="0"/>
        </w:rPr>
      </w:pPr>
      <w:r>
        <w:t>IX</w:t>
        <w:tab/>
        <w:t>Streitbeilegung</w:t>
      </w:r>
    </w:p>
    <w:p>
      <w:pPr>
        <w:pStyle w:val="Heading9"/>
        <w:rPr>
          <w:snapToGrid w:val="0"/>
        </w:rPr>
      </w:pPr>
      <w:r>
        <w:rPr>
          <w:b/>
          <w:bCs/>
        </w:rPr>
        <w:t>Art. 56</w:t>
      </w:r>
      <w:r>
        <w:tab/>
      </w:r>
      <w:r>
        <w:rPr>
          <w:snapToGrid w:val="0"/>
        </w:rPr>
        <w:t>Geltungsbereich</w:t>
      </w:r>
    </w:p>
    <w:p>
      <w:pPr>
        <w:pStyle w:val="Absatz"/>
        <w:rPr>
          <w:snapToGrid w:val="0"/>
        </w:rPr>
      </w:pPr>
      <w:r>
        <w:t>1.  Die Bestimmungen dieses Kapitels gelten in Bezug auf die Vermeidung oder Schlichtung von Streitigkeiten, die sich im Zusammenhang mit diesem Abkommen zwischen einem oder mehrere</w:t>
      </w:r>
      <w:r>
        <w:rPr>
          <w:snapToGrid w:val="0"/>
        </w:rPr>
        <w:t xml:space="preserve"> EFTA-Staaten und Singapur</w:t>
      </w:r>
      <w:r>
        <w:t xml:space="preserve"> ergeben.</w:t>
      </w:r>
    </w:p>
    <w:p>
      <w:pPr>
        <w:pStyle w:val="Absatz"/>
      </w:pPr>
      <w:r>
        <w:t>2.  Streitigkeiten über dieselbe Angelegenheit, die sich nach diesem Abkommen und dem WTO-Abkommen oder einem anderen darunter fallenden Übereinkommen, das die Vertragsparteien unterzeichnet haben, ergeben, werden in dem Forum beigelegt, das die klagende Vertragspartei zu diesem Zweck auswählt. Es wird ausschliesslich das so gewählte Forum benutzt.</w:t>
      </w:r>
    </w:p>
    <w:p>
      <w:pPr>
        <w:pStyle w:val="Absatz"/>
      </w:pPr>
      <w:r>
        <w:t>3.  Bevor eine Vertragspartei ein Schlichtungsverfahren gemäss dem WTO-Abkom</w:t>
      </w:r>
      <w:r>
        <w:softHyphen/>
        <w:t>men gegen eine andere Vertragspartei oder andere Vertragsparteien, oder umg</w:t>
      </w:r>
      <w:r>
        <w:t>e</w:t>
      </w:r>
      <w:r>
        <w:t>kehrt, einleitet, unterrichtet die betreffende Vertragspartei alle anderen Vertragspa</w:t>
      </w:r>
      <w:r>
        <w:t>r</w:t>
      </w:r>
      <w:r>
        <w:t>teien von ihrer Absicht.</w:t>
      </w:r>
    </w:p>
    <w:p>
      <w:pPr>
        <w:pStyle w:val="Heading9"/>
      </w:pPr>
      <w:r>
        <w:rPr>
          <w:b/>
          <w:bCs/>
        </w:rPr>
        <w:t>Art. 57</w:t>
      </w:r>
      <w:r>
        <w:tab/>
        <w:t>Gute Dienste, Vergleich und Vermittlung</w:t>
      </w:r>
    </w:p>
    <w:p>
      <w:pPr>
        <w:pStyle w:val="Absatz"/>
      </w:pPr>
      <w:r>
        <w:t>1.  Gute Dienste, Vergleich und Vermittlung sind Verfahren, die freiwillig ang</w:t>
      </w:r>
      <w:r>
        <w:t>e</w:t>
      </w:r>
      <w:r>
        <w:t>wendet werden, wenn die beteiligten Vertragsparteien sich darauf einigen. Sie kö</w:t>
      </w:r>
      <w:r>
        <w:t>n</w:t>
      </w:r>
      <w:r>
        <w:t>nen jederzeit beantragt oder beendet werden.</w:t>
      </w:r>
    </w:p>
    <w:p>
      <w:pPr>
        <w:pStyle w:val="Absatz"/>
      </w:pPr>
      <w:r>
        <w:t>2.  Verfahren, in denen gute Dienste, Vergleich und Vermittlung zum Tragen ko</w:t>
      </w:r>
      <w:r>
        <w:t>m</w:t>
      </w:r>
      <w:r>
        <w:t>men, sind vertraulich und lassen die Rechte der beteiligten Vertragsparteien in and</w:t>
      </w:r>
      <w:r>
        <w:t>e</w:t>
      </w:r>
      <w:r>
        <w:t>ren Verfahren unberührt.</w:t>
      </w:r>
    </w:p>
    <w:p>
      <w:pPr>
        <w:pStyle w:val="Heading9"/>
        <w:rPr>
          <w:snapToGrid w:val="0"/>
        </w:rPr>
      </w:pPr>
      <w:r>
        <w:rPr>
          <w:b/>
          <w:bCs/>
        </w:rPr>
        <w:t>Art. 58</w:t>
      </w:r>
      <w:r>
        <w:tab/>
        <w:t>K</w:t>
      </w:r>
      <w:r>
        <w:rPr>
          <w:snapToGrid w:val="0"/>
        </w:rPr>
        <w:t>onsultationen</w:t>
      </w:r>
    </w:p>
    <w:p>
      <w:pPr>
        <w:pStyle w:val="Absatz"/>
        <w:rPr>
          <w:snapToGrid w:val="0"/>
        </w:rPr>
      </w:pPr>
      <w:r>
        <w:t>1.  Die Vertragsparteien bemühen sich stets um eine einvernehmliche Auslegung und Anwendung dieses Abkommens. Sie unternehmen durch Zusammenarbeit und Konsultation jegliche Anstrengung, um eine für beide Seiten zufriedenstellende Lösung aller Fragen zu erreichen, welche die Durchführung dieses Abkommens b</w:t>
      </w:r>
      <w:r>
        <w:t>e</w:t>
      </w:r>
      <w:r>
        <w:t>rühren könnten.</w:t>
      </w:r>
    </w:p>
    <w:p>
      <w:pPr>
        <w:pStyle w:val="Absatz"/>
        <w:rPr>
          <w:snapToGrid w:val="0"/>
        </w:rPr>
      </w:pPr>
      <w:r>
        <w:t>2.  Jeder EFTA-Staat oder mehrere EFTA-Staaten kann bzw. können schriftliche Konsultationen mit</w:t>
      </w:r>
      <w:r>
        <w:rPr>
          <w:snapToGrid w:val="0"/>
        </w:rPr>
        <w:t xml:space="preserve"> Singapur</w:t>
      </w:r>
      <w:r>
        <w:t xml:space="preserve"> beantragen, und umgekehrt, sobald eine Vertragspartei der Ansicht ist, dass eine von der Vertragspartei oder den Vertragsparteien, an die der Antrag gestellt wird, angewendete Massnahme mit diesem Abkommen nicht ve</w:t>
      </w:r>
      <w:r>
        <w:t>r</w:t>
      </w:r>
      <w:r>
        <w:t>einbar ist oder dass ein Vorteil, der direkt oder indirekt aus diesem Abkommen he</w:t>
      </w:r>
      <w:r>
        <w:t>r</w:t>
      </w:r>
      <w:r>
        <w:t>vorgeht, durch eine solche Massnahme</w:t>
      </w:r>
      <w:r>
        <w:rPr>
          <w:rStyle w:val="FootnoteReference"/>
          <w:noProof w:val="0"/>
          <w:lang w:val="de-CH" w:eastAsia="de-DE"/>
        </w:rPr>
        <w:footnoteReference w:id="33"/>
      </w:r>
      <w:r>
        <w:t xml:space="preserve"> beeinträchtigt wird. Die antragstellende Vertragspartei unterrichtet gleichzeitig alle anderen Vertragsparteien schriftlich darüber. Die Konsultationen finden im Gemischten Ausschuss statt, sofern die Ve</w:t>
      </w:r>
      <w:r>
        <w:t>r</w:t>
      </w:r>
      <w:r>
        <w:t>tragspartei oder die Vertragsparteien, welche den Konsultationsantrag stellen oder entgegennehmen, nicht dagegen sind.</w:t>
      </w:r>
    </w:p>
    <w:p>
      <w:pPr>
        <w:pStyle w:val="Absatz"/>
      </w:pPr>
      <w:r>
        <w:t>3.  Die Konsultationen beginnen innerhalb von 30 Tagen ab Erhalt des Konsulta</w:t>
      </w:r>
      <w:r>
        <w:softHyphen/>
        <w:t>tionsantrags. Konsultationen über dringliche Angelegenheiten, darunter auch solche über verderbliche Agrarprodukte, beginnen innerhalb von 15 Tagen nach Eingang des Konsultationsantrags.</w:t>
      </w:r>
    </w:p>
    <w:p>
      <w:pPr>
        <w:pStyle w:val="Absatz"/>
        <w:rPr>
          <w:color w:val="000000"/>
        </w:rPr>
      </w:pPr>
      <w:r>
        <w:t>4.  </w:t>
      </w:r>
      <w:r>
        <w:rPr>
          <w:color w:val="000000"/>
        </w:rPr>
        <w:t>Die an den Konsultationen beteiligten Vertragsparteien erteilen ausreichend Auskunft, damit vollständig abgeklärt werden kann, in welcher Weise die Mas</w:t>
      </w:r>
      <w:r>
        <w:rPr>
          <w:color w:val="000000"/>
        </w:rPr>
        <w:t>s</w:t>
      </w:r>
      <w:r>
        <w:rPr>
          <w:color w:val="000000"/>
        </w:rPr>
        <w:t>nahme oder ein anderer Umstand die Durchführung dieses Abkommens beeinträc</w:t>
      </w:r>
      <w:r>
        <w:rPr>
          <w:color w:val="000000"/>
        </w:rPr>
        <w:t>h</w:t>
      </w:r>
      <w:r>
        <w:rPr>
          <w:color w:val="000000"/>
        </w:rPr>
        <w:t>tigen könnte. Sie behandeln die im Laufe der Konsultationen ausgetauschten ve</w:t>
      </w:r>
      <w:r>
        <w:rPr>
          <w:color w:val="000000"/>
        </w:rPr>
        <w:t>r</w:t>
      </w:r>
      <w:r>
        <w:rPr>
          <w:color w:val="000000"/>
        </w:rPr>
        <w:t>traulichen oder gesetzlich geschützten Informationen in gleicher Weise wie die Vertragspartei, welche die Informationen liefert.</w:t>
      </w:r>
    </w:p>
    <w:p>
      <w:pPr>
        <w:pStyle w:val="Absatz"/>
        <w:rPr>
          <w:color w:val="000000"/>
        </w:rPr>
      </w:pPr>
      <w:r>
        <w:t>5.  </w:t>
      </w:r>
      <w:r>
        <w:rPr>
          <w:color w:val="000000"/>
        </w:rPr>
        <w:t>Die Konsultationen sind vertraulich zu führen und berühren die Rechte der Ve</w:t>
      </w:r>
      <w:r>
        <w:rPr>
          <w:color w:val="000000"/>
        </w:rPr>
        <w:t>r</w:t>
      </w:r>
      <w:r>
        <w:rPr>
          <w:color w:val="000000"/>
        </w:rPr>
        <w:t>tragsparteien, die an weiteren Verfahren beteiligt sind, nicht.</w:t>
      </w:r>
    </w:p>
    <w:p>
      <w:pPr>
        <w:pStyle w:val="Absatz"/>
        <w:rPr>
          <w:snapToGrid w:val="0"/>
        </w:rPr>
      </w:pPr>
      <w:r>
        <w:t>6.  </w:t>
      </w:r>
      <w:r>
        <w:rPr>
          <w:color w:val="000000"/>
        </w:rPr>
        <w:t>Die an den Konsultationen beteiligten Vertragsparteien informieren die anderen Vertragsparteien über jede gegenseitig vereinbarte Lösung der Angelegenheit.</w:t>
      </w:r>
    </w:p>
    <w:p>
      <w:pPr>
        <w:pStyle w:val="Heading9"/>
        <w:rPr>
          <w:snapToGrid w:val="0"/>
        </w:rPr>
      </w:pPr>
      <w:r>
        <w:rPr>
          <w:b/>
          <w:bCs/>
        </w:rPr>
        <w:t>Art. 59</w:t>
      </w:r>
      <w:r>
        <w:tab/>
        <w:t>Einsetzung eines Schiedsgerichts</w:t>
      </w:r>
    </w:p>
    <w:p>
      <w:pPr>
        <w:pStyle w:val="Absatz"/>
      </w:pPr>
      <w:r>
        <w:t>1.  Wird die Angelegenheit nicht innerhalb von 60 Tagen, oder von 30 Tagen im Falle von dringlichen Angelegenheiten, nach Eingang des Konsultationsantrags be</w:t>
      </w:r>
      <w:r>
        <w:t>i</w:t>
      </w:r>
      <w:r>
        <w:t xml:space="preserve">gelegt, so kann eine Streitpartei (oder mehrere </w:t>
      </w:r>
      <w:r>
        <w:rPr>
          <w:color w:val="000000"/>
        </w:rPr>
        <w:t>Streitparteien) mittels schriftlicher Mitteilung an die beschuldigte Streitpartei oder die beschuldigten Streitparteien das Schiedsverfahren einleiten. Eine Kopie dieser Mitteilung wird allen Vertragsparteien zugestellt, damit diese über ihre Teilnahme an der Streitigkeit entscheiden können.</w:t>
      </w:r>
    </w:p>
    <w:p>
      <w:pPr>
        <w:pStyle w:val="Absatz"/>
      </w:pPr>
      <w:r>
        <w:t>2.  </w:t>
      </w:r>
      <w:r>
        <w:rPr>
          <w:color w:val="000000"/>
        </w:rPr>
        <w:t>Beantragt mehr als eine Vertragspartei ein Schiedsverfahren über den gleichen Streitgegenstand, so sollte wenn möglich ein einziges Schiedsgericht die Sache b</w:t>
      </w:r>
      <w:r>
        <w:rPr>
          <w:color w:val="000000"/>
        </w:rPr>
        <w:t>e</w:t>
      </w:r>
      <w:r>
        <w:rPr>
          <w:color w:val="000000"/>
        </w:rPr>
        <w:t>urteilen.</w:t>
      </w:r>
    </w:p>
    <w:p>
      <w:pPr>
        <w:pStyle w:val="Absatz"/>
      </w:pPr>
      <w:r>
        <w:t>3.  Der Antrag auf ein Schiedsverfahren enthält eine Begründung der Klage sowie die Beschreibung der fraglichen Massnahme und der rechtlichen Grundlage der Klage.</w:t>
      </w:r>
    </w:p>
    <w:p>
      <w:pPr>
        <w:pStyle w:val="Heading9"/>
        <w:rPr>
          <w:snapToGrid w:val="0"/>
        </w:rPr>
      </w:pPr>
      <w:r>
        <w:rPr>
          <w:b/>
          <w:bCs/>
        </w:rPr>
        <w:t>Art. 60</w:t>
      </w:r>
      <w:r>
        <w:tab/>
        <w:t>Schiedsgericht</w:t>
      </w:r>
    </w:p>
    <w:p>
      <w:pPr>
        <w:pStyle w:val="Absatz"/>
        <w:rPr>
          <w:color w:val="000000"/>
        </w:rPr>
      </w:pPr>
      <w:r>
        <w:t>1.  Das Schiedsgericht besteht aus drei Mitgliedern.</w:t>
      </w:r>
    </w:p>
    <w:p>
      <w:pPr>
        <w:pStyle w:val="Absatz"/>
        <w:rPr>
          <w:snapToGrid w:val="0"/>
        </w:rPr>
      </w:pPr>
      <w:r>
        <w:t>2.  In der schriftlichen Mitteilung gemäss Artikel 59 bestimmt die Streitpartei (oder die Streitparteien) ein Mitglied des Schiedsgerichts.</w:t>
      </w:r>
    </w:p>
    <w:p>
      <w:pPr>
        <w:pStyle w:val="Absatz"/>
        <w:rPr>
          <w:snapToGrid w:val="0"/>
        </w:rPr>
      </w:pPr>
      <w:r>
        <w:t>3.  Innerhalb von 15 Tagen nach Eingang der in Absatz 2 erwähnten Mitteilung bezeichnet die andere Streitpartei (oder die anderen Streitparteien), an welche die Mi</w:t>
      </w:r>
      <w:r>
        <w:t>t</w:t>
      </w:r>
      <w:r>
        <w:t>teilung gerichtet war, ihrerseits einen Schiedsrichter.</w:t>
      </w:r>
    </w:p>
    <w:p>
      <w:pPr>
        <w:pStyle w:val="Absatz"/>
      </w:pPr>
      <w:r>
        <w:t>4.  Innerhalb von 30 Tagen nach der Ernennung des zweiten Schiedsrichters einigen sich die Streitparteien auf die Ernennung des dritten Schiedsrichters. Dieser Schieds</w:t>
      </w:r>
      <w:r>
        <w:softHyphen/>
        <w:t>richter übernimmt den Vorsitz des Schiedsgerichts.</w:t>
      </w:r>
    </w:p>
    <w:p>
      <w:pPr>
        <w:pStyle w:val="Absatz"/>
        <w:rPr>
          <w:color w:val="000000"/>
        </w:rPr>
      </w:pPr>
      <w:r>
        <w:t>5.  Falls innerhalb von 45 Tagen nach Eingang der in Absatz 2 erwähnten Mitteilung nicht alle drei Schiedsrichter bezeichnet oder ernannt worden sind, nimmt auf A</w:t>
      </w:r>
      <w:r>
        <w:t>n</w:t>
      </w:r>
      <w:r>
        <w:t>trag einer Streitpartei der Generalsekretär der WTO die nötigen Ernennungen inne</w:t>
      </w:r>
      <w:r>
        <w:t>r</w:t>
      </w:r>
      <w:r>
        <w:t>halb weiterer 30 Tage vor.</w:t>
      </w:r>
    </w:p>
    <w:p>
      <w:pPr>
        <w:pStyle w:val="Absatz"/>
      </w:pPr>
      <w:r>
        <w:t>6.  Der Vorsitzende des Schiedsgerichts darf weder Staatsangehöriger einer Ve</w:t>
      </w:r>
      <w:r>
        <w:t>r</w:t>
      </w:r>
      <w:r>
        <w:t>tragspartei sein noch ständigen Wohnsitz in einer Vertragspartei haben. Er darf w</w:t>
      </w:r>
      <w:r>
        <w:t>e</w:t>
      </w:r>
      <w:r>
        <w:t>der ein Angestellter oder ehemaliger Angestellter einer Vertragspartei sein, noch sich in irgendeiner Funktion bisher mit dem Fall befasst haben.</w:t>
      </w:r>
    </w:p>
    <w:p>
      <w:pPr>
        <w:pStyle w:val="Absatz"/>
      </w:pPr>
      <w:r>
        <w:t>7.  Für den Fall, dass ein Schiedsrichter stirbt, zurücktritt oder abberufen wird, wird innerhalb von 15 Tagen in der für seine Ernennung vorgesehenen Weise ein Ersat</w:t>
      </w:r>
      <w:r>
        <w:t>z</w:t>
      </w:r>
      <w:r>
        <w:t>richter gewählt. In einem solchen Fall wird jede auf die Schiedsverfahren anwend</w:t>
      </w:r>
      <w:r>
        <w:softHyphen/>
        <w:t>bare Frist für die Zeit zwischen dem Tag, an dem der Schiedsrichter stirbt, zurüc</w:t>
      </w:r>
      <w:r>
        <w:t>k</w:t>
      </w:r>
      <w:r>
        <w:t>tritt oder abberufen wird, bis zu dem Tag, an dem der Ersatz gewählt wird, ausg</w:t>
      </w:r>
      <w:r>
        <w:t>e</w:t>
      </w:r>
      <w:r>
        <w:t>setzt.</w:t>
      </w:r>
    </w:p>
    <w:p>
      <w:pPr>
        <w:pStyle w:val="Absatz"/>
      </w:pPr>
      <w:r>
        <w:t>8.  Als Datum der Einsetzung des Schiedsgerichts gilt der Tag, an dem der Vorsi</w:t>
      </w:r>
      <w:r>
        <w:t>t</w:t>
      </w:r>
      <w:r>
        <w:t>zende ernannt wird.</w:t>
      </w:r>
    </w:p>
    <w:p>
      <w:pPr>
        <w:pStyle w:val="Heading9"/>
      </w:pPr>
      <w:r>
        <w:rPr>
          <w:b/>
          <w:bCs/>
        </w:rPr>
        <w:t>Art. 61</w:t>
        <w:tab/>
      </w:r>
      <w:r>
        <w:t>Schiedsverfahren</w:t>
      </w:r>
    </w:p>
    <w:p>
      <w:pPr>
        <w:pStyle w:val="Absatz"/>
        <w:rPr>
          <w:color w:val="000000"/>
        </w:rPr>
      </w:pPr>
      <w:r>
        <w:t>1.  Sofern die Streitparteien nichts anderes vereinbaren, wird das Schiedsverfahren nach den Musterverfahrensregeln durchgeführt, die vom Gemischten Ausschuss an dessen erster Sitzung beschlossen werden.</w:t>
      </w:r>
      <w:r>
        <w:rPr>
          <w:color w:val="000000"/>
        </w:rPr>
        <w:t xml:space="preserve"> Bis solche Regeln vorliegen, setzt das Schiedsgericht seine Verfahrensordnung selbst fest, sofern </w:t>
      </w:r>
      <w:r>
        <w:t>die Streitparteien nichts anderes vereinbaren.</w:t>
      </w:r>
    </w:p>
    <w:p>
      <w:pPr>
        <w:pStyle w:val="Absatz"/>
        <w:rPr>
          <w:color w:val="000000"/>
        </w:rPr>
      </w:pPr>
      <w:r>
        <w:t>2.  </w:t>
      </w:r>
      <w:r>
        <w:rPr>
          <w:color w:val="000000"/>
        </w:rPr>
        <w:t>Unbeschadet des Absatzes 1 soll für alle Schiedsgerichtsverhandlungen sicherg</w:t>
      </w:r>
      <w:r>
        <w:rPr>
          <w:color w:val="000000"/>
        </w:rPr>
        <w:t>e</w:t>
      </w:r>
      <w:r>
        <w:rPr>
          <w:color w:val="000000"/>
        </w:rPr>
        <w:t>stellt werden, dass:</w:t>
      </w:r>
    </w:p>
    <w:p>
      <w:pPr>
        <w:pStyle w:val="Struktur1"/>
      </w:pPr>
      <w:r>
        <w:t>(a)</w:t>
        <w:tab/>
        <w:t>die Streitparteien das Recht auf mindestens eine Anhörung vor dem Schiedsgericht haben und die Möglichkeit erhalten, schriftliche Gegenb</w:t>
      </w:r>
      <w:r>
        <w:t>e</w:t>
      </w:r>
      <w:r>
        <w:t>weise einzureichen;</w:t>
      </w:r>
    </w:p>
    <w:p>
      <w:pPr>
        <w:pStyle w:val="Struktur1"/>
      </w:pPr>
      <w:r>
        <w:t>(b)</w:t>
        <w:tab/>
        <w:t>die Streitparteien zu allen Anhörungen, die das Schiedsgericht durchführt, eingeladen werden;</w:t>
      </w:r>
    </w:p>
    <w:p>
      <w:pPr>
        <w:pStyle w:val="Struktur1"/>
      </w:pPr>
      <w:r>
        <w:t>(c)</w:t>
        <w:tab/>
        <w:t>die Streitparteien Einsicht in alle Eingaben und Stellungnahmen erhalten, die dem Schiedsgericht vorgelegt werden, vorbehaltlich jeglicher Erforde</w:t>
      </w:r>
      <w:r>
        <w:t>r</w:t>
      </w:r>
      <w:r>
        <w:t>nisse bezüglich der Vertraulichkeit; und</w:t>
      </w:r>
    </w:p>
    <w:p>
      <w:pPr>
        <w:pStyle w:val="Struktur1"/>
      </w:pPr>
      <w:r>
        <w:t>(d)</w:t>
        <w:tab/>
        <w:t>die Anhörungen, Beratungen und der Zwischenbericht sowie alle schrift</w:t>
      </w:r>
      <w:r>
        <w:softHyphen/>
        <w:t>l</w:t>
      </w:r>
      <w:r>
        <w:t>i</w:t>
      </w:r>
      <w:r>
        <w:t>chen Eingaben und Stellungnahmen an das Schiedsgericht vertraulich sind.</w:t>
      </w:r>
    </w:p>
    <w:p>
      <w:pPr>
        <w:pStyle w:val="Absatz"/>
        <w:rPr>
          <w:color w:val="000000"/>
        </w:rPr>
      </w:pPr>
      <w:r>
        <w:t>3.  </w:t>
      </w:r>
      <w:r>
        <w:rPr>
          <w:color w:val="000000"/>
        </w:rPr>
        <w:t>Sofern die Streitparteien innerhalb von 20 Tagen nach dem Zustelldatum des A</w:t>
      </w:r>
      <w:r>
        <w:rPr>
          <w:color w:val="000000"/>
        </w:rPr>
        <w:t>n</w:t>
      </w:r>
      <w:r>
        <w:rPr>
          <w:color w:val="000000"/>
        </w:rPr>
        <w:t>trags auf Einsetzung eines Schiedsgerichts nichts anderes vereinbaren, lautet der Schiedsauftrag folgendermassen:</w:t>
      </w:r>
    </w:p>
    <w:p>
      <w:pPr>
        <w:pStyle w:val="Struktur1"/>
      </w:pPr>
      <w:r>
        <w:tab/>
        <w:t>«Im Lichte der einschlägigen Bestimmungen des Abkommens soll die Ang</w:t>
      </w:r>
      <w:r>
        <w:t>e</w:t>
      </w:r>
      <w:r>
        <w:t>legenheit geprüft werden, auf die im Antrag auf Einsetzung eines Schiedsg</w:t>
      </w:r>
      <w:r>
        <w:t>e</w:t>
      </w:r>
      <w:r>
        <w:t>richts nach Artikel 59 verwiesen wird, und Rechts- und Tat</w:t>
      </w:r>
      <w:r>
        <w:softHyphen/>
        <w:t>sachen</w:t>
      </w:r>
      <w:r>
        <w:softHyphen/>
        <w:t>feststellungen samt ihren Begründungen sollen vorgenommen sowie allfällige Empfehlungen zur Lösung des Streitfalls abgegeben werden.»</w:t>
      </w:r>
    </w:p>
    <w:p>
      <w:pPr>
        <w:pStyle w:val="Absatz"/>
        <w:rPr>
          <w:color w:val="000000"/>
        </w:rPr>
      </w:pPr>
      <w:r>
        <w:t>4.  </w:t>
      </w:r>
      <w:r>
        <w:rPr>
          <w:color w:val="000000"/>
        </w:rPr>
        <w:t>Das Schiedsgericht kann auf Antrag einer Streitpartei oder aus eigener Initiative wissenschaftliche Information und technischen Rat von Experten einholen, falls es dies für angebracht erachtet.</w:t>
      </w:r>
    </w:p>
    <w:p>
      <w:pPr>
        <w:pStyle w:val="Absatz"/>
        <w:rPr>
          <w:color w:val="000000"/>
        </w:rPr>
      </w:pPr>
      <w:r>
        <w:t>5.  </w:t>
      </w:r>
      <w:r>
        <w:rPr>
          <w:color w:val="000000"/>
        </w:rPr>
        <w:t xml:space="preserve">Das Schiedsgericht fasst sein Urteil gestützt auf die Bestimmungen </w:t>
      </w:r>
      <w:r>
        <w:t>dieses A</w:t>
      </w:r>
      <w:r>
        <w:t>b</w:t>
      </w:r>
      <w:r>
        <w:t>kommens, die in Übereinstimmung mit den Regeln und Grundsätzen des inter</w:t>
      </w:r>
      <w:r>
        <w:softHyphen/>
        <w:t>nationalen öffentlichen Rechts angewendet und ausgelegt werden.</w:t>
      </w:r>
    </w:p>
    <w:p>
      <w:pPr>
        <w:pStyle w:val="Absatz"/>
      </w:pPr>
      <w:r>
        <w:t>6.  Das Schiedsgericht trifft seine Entscheide mit Stimmenmehrheit</w:t>
      </w:r>
      <w:r>
        <w:rPr>
          <w:color w:val="000000"/>
        </w:rPr>
        <w:t>. Die Schied</w:t>
      </w:r>
      <w:r>
        <w:rPr>
          <w:color w:val="000000"/>
        </w:rPr>
        <w:t>s</w:t>
      </w:r>
      <w:r>
        <w:rPr>
          <w:color w:val="000000"/>
        </w:rPr>
        <w:t>richter können Sondervoten zu abweichenden Meinungen beifügen. Kein Schieds</w:t>
      </w:r>
      <w:r>
        <w:rPr>
          <w:color w:val="000000"/>
        </w:rPr>
        <w:softHyphen/>
        <w:t>gericht darf offenlegen, welche Schiedsrichter die Mehrheits- bzw. die Minderheits</w:t>
      </w:r>
      <w:r>
        <w:rPr>
          <w:color w:val="000000"/>
        </w:rPr>
        <w:softHyphen/>
        <w:t>meinung vertreten.</w:t>
      </w:r>
    </w:p>
    <w:p>
      <w:pPr>
        <w:pStyle w:val="Absatz"/>
        <w:rPr>
          <w:snapToGrid w:val="0"/>
        </w:rPr>
      </w:pPr>
      <w:r>
        <w:t>7.  </w:t>
      </w:r>
      <w:r>
        <w:rPr>
          <w:snapToGrid w:val="0"/>
        </w:rPr>
        <w:t>Die Kosten des Schiedsgerichts, einschliesslich der Entschädigungen seiner Mi</w:t>
      </w:r>
      <w:r>
        <w:rPr>
          <w:snapToGrid w:val="0"/>
        </w:rPr>
        <w:t>t</w:t>
      </w:r>
      <w:r>
        <w:rPr>
          <w:snapToGrid w:val="0"/>
        </w:rPr>
        <w:t xml:space="preserve">glieder, </w:t>
      </w:r>
      <w:r>
        <w:t>tragen die Streitparteien zu gleichen Teilen</w:t>
      </w:r>
      <w:r>
        <w:rPr>
          <w:snapToGrid w:val="0"/>
        </w:rPr>
        <w:t>.</w:t>
      </w:r>
    </w:p>
    <w:p>
      <w:pPr>
        <w:pStyle w:val="Heading9"/>
      </w:pPr>
      <w:r>
        <w:rPr>
          <w:b/>
          <w:bCs/>
        </w:rPr>
        <w:t>Art. 62</w:t>
      </w:r>
      <w:r>
        <w:tab/>
        <w:t>Zwischenbericht</w:t>
      </w:r>
    </w:p>
    <w:p>
      <w:pPr>
        <w:pStyle w:val="Absatz"/>
      </w:pPr>
      <w:r>
        <w:t>1.  Das Schiedsgericht legt den Vertragsparteien in aller Regel spätestens 90 Tage nach dem Zeitpunkt seiner Einsetzung einen Zwischenbericht vor.</w:t>
      </w:r>
    </w:p>
    <w:p>
      <w:pPr>
        <w:pStyle w:val="Absatz"/>
      </w:pPr>
      <w:r>
        <w:t>2.  Das Schiedsgericht erstellt seinen Bericht gestützt auf die Eingaben und Arg</w:t>
      </w:r>
      <w:r>
        <w:t>u</w:t>
      </w:r>
      <w:r>
        <w:t>mente der Streitparteien sowie auf Grund der wissenschaftlichen Information und des technischen Rats nach Artikel 61 Absatz 4.</w:t>
      </w:r>
    </w:p>
    <w:p>
      <w:pPr>
        <w:pStyle w:val="Absatz"/>
      </w:pPr>
      <w:r>
        <w:t>3.  Eine Streitpartei kann innerhalb von 14 Tagen nach Vorlage des Zwischen</w:t>
      </w:r>
      <w:r>
        <w:softHyphen/>
        <w:t>berichts dem Schiedsgericht schriftliche Stellungnahmen dazu unterbreiten.</w:t>
      </w:r>
    </w:p>
    <w:p>
      <w:pPr>
        <w:pStyle w:val="Absatz"/>
      </w:pPr>
      <w:r>
        <w:t>4.  In diesem Fall kann das Schiedsgericht, nach Kenntnisnahme dieser schriftlichen Stellungnahmen, auf eigene Initiative oder auf Antrag einer anderen Streitpartei:</w:t>
      </w:r>
    </w:p>
    <w:p>
      <w:pPr>
        <w:pStyle w:val="Struktur1"/>
      </w:pPr>
      <w:r>
        <w:t>(a)</w:t>
        <w:tab/>
        <w:t>die Ansichten jeder anderen Streitpartei einholen;</w:t>
      </w:r>
    </w:p>
    <w:p>
      <w:pPr>
        <w:pStyle w:val="Struktur1"/>
      </w:pPr>
      <w:r>
        <w:t>(b)</w:t>
        <w:tab/>
        <w:t>seinen Bericht überdenken; und</w:t>
      </w:r>
    </w:p>
    <w:p>
      <w:pPr>
        <w:pStyle w:val="Struktur1"/>
      </w:pPr>
      <w:r>
        <w:t>(c)</w:t>
        <w:tab/>
        <w:t>jede weitere Abklärung durchführen, die es für nötig erachtet.</w:t>
      </w:r>
    </w:p>
    <w:p>
      <w:pPr>
        <w:pStyle w:val="Heading9"/>
      </w:pPr>
      <w:r>
        <w:rPr>
          <w:b/>
          <w:bCs/>
        </w:rPr>
        <w:t>Art. 63</w:t>
      </w:r>
      <w:r>
        <w:tab/>
        <w:t>Schlussbericht</w:t>
      </w:r>
    </w:p>
    <w:p>
      <w:pPr>
        <w:pStyle w:val="Absatz"/>
      </w:pPr>
      <w:r>
        <w:t>1.  Das Schiedsgericht legt den Streitparteien innerhalb von 30 Tagen nach Vorlage des Zwischenberichts einen Schlussbericht vor, der die in Artikel 62 Absatz 2 g</w:t>
      </w:r>
      <w:r>
        <w:t>e</w:t>
      </w:r>
      <w:r>
        <w:t>nannten Gegenstände beinhaltet und auch jede abweichende Meinung über strittige Punkte einschliesst.</w:t>
      </w:r>
    </w:p>
    <w:p>
      <w:pPr>
        <w:pStyle w:val="Absatz"/>
      </w:pPr>
      <w:r>
        <w:t>2.  Sofern die Streitparteien nichts anderes vereinbaren, wird der Schlussbericht 15 Tage, nachdem er ihnen vorgelegt wurde, veröffentlicht.</w:t>
      </w:r>
    </w:p>
    <w:p>
      <w:pPr>
        <w:pStyle w:val="Heading9"/>
      </w:pPr>
      <w:r>
        <w:rPr>
          <w:b/>
          <w:bCs/>
        </w:rPr>
        <w:t>Art. 64</w:t>
      </w:r>
      <w:r>
        <w:tab/>
        <w:t>Beendigung von Schiedsverfahren</w:t>
      </w:r>
    </w:p>
    <w:p>
      <w:pPr>
        <w:pStyle w:val="Absatz"/>
      </w:pPr>
      <w:r>
        <w:t>Solange der Zwischenbericht nicht vorliegt, kann die klagende Vertragspartei ihre Klage jederzeit zurücknehmen. Die Rücknahme lässt ihr Recht auf die Einreichung einer neuen Klage zu einem späteren Zeitpunkt in derselben Frage unberührt.</w:t>
      </w:r>
    </w:p>
    <w:p>
      <w:pPr>
        <w:pStyle w:val="Heading9"/>
      </w:pPr>
      <w:r>
        <w:rPr>
          <w:b/>
          <w:bCs/>
        </w:rPr>
        <w:t>Art. 65</w:t>
      </w:r>
      <w:r>
        <w:tab/>
      </w:r>
      <w:bookmarkStart w:id="27" w:name="_Toc495831183"/>
      <w:bookmarkStart w:id="28" w:name="_Toc495980667"/>
      <w:bookmarkStart w:id="29" w:name="_Toc495986532"/>
      <w:r>
        <w:t>Vollzug des Berichts</w:t>
      </w:r>
      <w:bookmarkEnd w:id="27"/>
      <w:bookmarkEnd w:id="28"/>
      <w:bookmarkEnd w:id="29"/>
      <w:r>
        <w:t xml:space="preserve"> des Schiedsgerichts</w:t>
      </w:r>
    </w:p>
    <w:p>
      <w:pPr>
        <w:pStyle w:val="Absatz"/>
      </w:pPr>
      <w:r>
        <w:t>1.  Der Schlussbericht bindet die Streitparteien und ist endgültig. Jede Vertragspa</w:t>
      </w:r>
      <w:r>
        <w:t>r</w:t>
      </w:r>
      <w:r>
        <w:t>tei verpflichtet sich, die zum Vollzug des Schlussberichts gemäss Artikel 63 erforder</w:t>
      </w:r>
      <w:r>
        <w:softHyphen/>
        <w:t>l</w:t>
      </w:r>
      <w:r>
        <w:t>i</w:t>
      </w:r>
      <w:r>
        <w:t>chen Massnahmen zu treffen.</w:t>
      </w:r>
    </w:p>
    <w:p>
      <w:pPr>
        <w:pStyle w:val="Absatz"/>
      </w:pPr>
      <w:r>
        <w:t>2.  Jede betroffene Vertragspartei informiert die andere Streitpartei bzw. die anderen Streitparteien innerhalb von 30 Tagen nach Vorlage des Schlussberichts über ihre Vollzugsabsichten.</w:t>
      </w:r>
    </w:p>
    <w:p>
      <w:pPr>
        <w:pStyle w:val="Absatz"/>
      </w:pPr>
      <w:r>
        <w:t>3.  Die Streitparteien bemühen sich um eine einvernehmliche Festlegung der für den Vollzug des Schlussberichts erforderlichen spezifischen Massnahmen. Nach Mö</w:t>
      </w:r>
      <w:r>
        <w:t>g</w:t>
      </w:r>
      <w:r>
        <w:t>lichkeit besteht die Lösung in der Aufhebung einer Massnahme, die nicht mit di</w:t>
      </w:r>
      <w:r>
        <w:t>e</w:t>
      </w:r>
      <w:r>
        <w:t>sem Abkommen vereinbar ist, oder, falls eine solche Lösung nicht zustande kommt, in einer Kompensation.</w:t>
      </w:r>
    </w:p>
    <w:p>
      <w:pPr>
        <w:pStyle w:val="Absatz"/>
      </w:pPr>
      <w:r>
        <w:t>4.  Jede betroffene Vertragspartei kommt dem Schlussbericht unverzüglich nach. Ist dies nicht möglich, so bemühen sich die Streitparteien um die einvernehmliche Fes</w:t>
      </w:r>
      <w:r>
        <w:t>t</w:t>
      </w:r>
      <w:r>
        <w:t>legung einer angemessenen Frist. Kommt keine Einigung zustande, so kann jede Streitpartei dem ursprünglichen Schiedsgericht beantragen, unter Berücksichtigung der jeweiligen Umstände des Falls eine angemessene Frist zu bestimmen. Der En</w:t>
      </w:r>
      <w:r>
        <w:t>t</w:t>
      </w:r>
      <w:r>
        <w:t>scheid des Schiedsgerichts ergeht innerhalb von 15 Tagen ab Antragstellung.</w:t>
      </w:r>
    </w:p>
    <w:p>
      <w:pPr>
        <w:pStyle w:val="Absatz"/>
      </w:pPr>
      <w:r>
        <w:t>5.  Jede betroffene Vertragspartei notifiziert der anderen Streitpartei oder den and</w:t>
      </w:r>
      <w:r>
        <w:t>e</w:t>
      </w:r>
      <w:r>
        <w:t>ren Streitparteien, welche Massnahmen zum Vollzug des Schlussberichts innerhalb der nach Absatz 4 festgelegten angemessenen Frist getroffen wurden. Nach dieser Notifikation kann jede Streitpartei das ursprüngliche Schiedsgericht ersuchen, über die Vereinbarkeit dieser Massnahmen mit dem Schlussbericht zu entscheiden. Der Entscheid des Schiedsgerichts ergeht innerhalb von 60 Tagen ab Antragstellung.</w:t>
      </w:r>
    </w:p>
    <w:p>
      <w:pPr>
        <w:pStyle w:val="Absatz"/>
      </w:pPr>
      <w:r>
        <w:t>6.  Unterlässt es eine beteiligte Vertragspartei (oder mehrere der beteiligten Ve</w:t>
      </w:r>
      <w:r>
        <w:t>r</w:t>
      </w:r>
      <w:r>
        <w:t>tragsparteien), die Vollzugsmassnahmen vor Ablauf der nach Absatz 4 festgelegten angemessenen Frist zu notifizieren, oder entscheidet das Schiedsgericht, dass die von den betreffenden Vertragsparteien notifizierten Massnahmen dem Schluss</w:t>
      </w:r>
      <w:r>
        <w:softHyphen/>
        <w:t>bericht nicht gerecht werden, so nimmt diese Vertragspartei auf entsprechenden A</w:t>
      </w:r>
      <w:r>
        <w:t>n</w:t>
      </w:r>
      <w:r>
        <w:t>trag der klagenden Vertragspartei (oder der verklagenden Vertragsparteien) Konsultationen mit dieser auf, um gegenseitig akzeptable Kompensationen zu ve</w:t>
      </w:r>
      <w:r>
        <w:t>r</w:t>
      </w:r>
      <w:r>
        <w:t xml:space="preserve">einbaren. Kommt innerhalb von 20 Tagen nach diesem Antrag keine Einigung zustande, so darf </w:t>
      </w:r>
      <w:r>
        <w:rPr>
          <w:color w:val="000000"/>
        </w:rPr>
        <w:t>die klagende Vertragspartei nur solche im Rahmen dieses A</w:t>
      </w:r>
      <w:r>
        <w:rPr>
          <w:color w:val="000000"/>
        </w:rPr>
        <w:t>b</w:t>
      </w:r>
      <w:r>
        <w:rPr>
          <w:color w:val="000000"/>
        </w:rPr>
        <w:t>kommens eing</w:t>
      </w:r>
      <w:r>
        <w:rPr>
          <w:color w:val="000000"/>
        </w:rPr>
        <w:t>e</w:t>
      </w:r>
      <w:r>
        <w:rPr>
          <w:color w:val="000000"/>
        </w:rPr>
        <w:t>räumte Vorteile aussetzen, die denjenigen entsprechen, die durch die Massnahmen beeinträchtigt werden, welche als gegen dieses Abkommen ve</w:t>
      </w:r>
      <w:r>
        <w:rPr>
          <w:color w:val="000000"/>
        </w:rPr>
        <w:t>r</w:t>
      </w:r>
      <w:r>
        <w:rPr>
          <w:color w:val="000000"/>
        </w:rPr>
        <w:t>stos</w:t>
      </w:r>
      <w:r>
        <w:rPr>
          <w:color w:val="000000"/>
        </w:rPr>
        <w:softHyphen/>
        <w:t>send beurteilt wurden.</w:t>
      </w:r>
    </w:p>
    <w:p>
      <w:pPr>
        <w:pStyle w:val="Absatz"/>
      </w:pPr>
      <w:r>
        <w:t>7.  Die klagende Vertragspartei (bzw. Vertragsparteien) erwägt dabei zunächst die Suspendierung von Vorteilen in demselben Sektor oder denselben Sektoren, wie j</w:t>
      </w:r>
      <w:r>
        <w:t>e</w:t>
      </w:r>
      <w:r>
        <w:t>nem, der durch die nach dem Urteil des Schiedsgerichts gegen dieses Abkommen verstossende Massnahme betroffen ist. Ist die Aussetzung von Vorteilen in demse</w:t>
      </w:r>
      <w:r>
        <w:t>l</w:t>
      </w:r>
      <w:r>
        <w:t>ben Sektor bzw. in denselben Sektoren nach Auffassung der klagenden Vertragspa</w:t>
      </w:r>
      <w:r>
        <w:t>r</w:t>
      </w:r>
      <w:r>
        <w:t>tei (bzw. Vertragsparteien) nicht durchführbar oder unwirksam, so kann sie Vorteile in anderen Sektoren aussetzen.</w:t>
      </w:r>
    </w:p>
    <w:p>
      <w:pPr>
        <w:pStyle w:val="Absatz"/>
      </w:pPr>
      <w:r>
        <w:t>8.  Spätestens 60 Tage vor dem Tag, an dem die Aussetzung wirksam werden soll, notifiziert die klagende Vertragspartei (bzw. Vertragsparteien) der anderen Ve</w:t>
      </w:r>
      <w:r>
        <w:t>r</w:t>
      </w:r>
      <w:r>
        <w:t>tragspartei bzw. den anderen Vertragsparteien, welche Vorteile sie auszusetzen b</w:t>
      </w:r>
      <w:r>
        <w:t>e</w:t>
      </w:r>
      <w:r>
        <w:t>absichtigt. Innerhalb von 15 Tagen nach dieser Notifikation kann jede Streitpartei das ursprüngliche Schiedsgericht ersuchen, darüber zu befinden, ob die Vorteile, welche die klagende Vertragspartei (bzw. Vertragsparteien) aussetzen will, jenen entsprechen, die durch die gegen dieses Abkommen verstossende Massnahme beei</w:t>
      </w:r>
      <w:r>
        <w:t>n</w:t>
      </w:r>
      <w:r>
        <w:t>trächtigt wurden, und ob die vorgeschlagene Aussetzung im Einklang mit den A</w:t>
      </w:r>
      <w:r>
        <w:t>b</w:t>
      </w:r>
      <w:r>
        <w:t>sätzen 6 und 7 steht. Der Entscheid des Schiedsgerichts ergeht innerhalb von 45 Tagen nach dessen Anrufung. Die Vorteile werden nicht ausgesetzt, solange das Schiedsgericht keinen Entscheid gefällt hat.</w:t>
      </w:r>
    </w:p>
    <w:p>
      <w:pPr>
        <w:pStyle w:val="Absatz"/>
      </w:pPr>
      <w:r>
        <w:t>9.  Die Aussetzung der Vorteile ist vorübergehend und wird von der klagenden Ve</w:t>
      </w:r>
      <w:r>
        <w:t>r</w:t>
      </w:r>
      <w:r>
        <w:t>tragspartei (bzw. Vertragsparteien) nur so lange beibehalten, bis die gegen dieses Abkommen verstossende Massnahme zurückgenommen oder so geändert wird, dass sie mit diesem Abkommen vereinbar ist, oder bis die Streitparteien eine Einigung über die Beilegung der Streitigkeit erreicht haben.</w:t>
      </w:r>
    </w:p>
    <w:p>
      <w:pPr>
        <w:pStyle w:val="Absatz"/>
      </w:pPr>
      <w:r>
        <w:t>10.  Auf Antrag einer Streitpartei prüft das ursprüngliche Schiedsgericht die nach der Aussetzung der Vorteile beschlossenen Vollzugsmassnahmen auf Vereinbarkeit mit dem Schlussbericht. Gestützt auf diesen Entscheid befindet es darüber, ob die Aussetzung der Vorteile beendet oder geändert werden soll. Das Schiedsgericht trifft den Entscheid innerhalb von 30 Tagen nach der Anrufung.</w:t>
      </w:r>
    </w:p>
    <w:p>
      <w:pPr>
        <w:pStyle w:val="Absatz"/>
      </w:pPr>
      <w:r>
        <w:t>11.  Die Entscheide nach den Absätzen 4, 5, 8 und 10 sind bindend.</w:t>
      </w:r>
    </w:p>
    <w:p>
      <w:pPr>
        <w:pStyle w:val="Heading9"/>
      </w:pPr>
      <w:r>
        <w:rPr>
          <w:b/>
          <w:bCs/>
        </w:rPr>
        <w:t>Art. 66</w:t>
      </w:r>
      <w:r>
        <w:tab/>
        <w:t>Weitere Bestimmungen</w:t>
      </w:r>
    </w:p>
    <w:p>
      <w:pPr>
        <w:pStyle w:val="Absatz"/>
        <w:rPr>
          <w:snapToGrid w:val="0"/>
        </w:rPr>
      </w:pPr>
      <w:r>
        <w:t>Jede in diesem Kapitel erwähnte Frist kann von den Streitparteien einvernehmlich verlängert werden.</w:t>
      </w:r>
    </w:p>
    <w:p>
      <w:pPr>
        <w:pStyle w:val="Abstand18pt"/>
        <w:rPr>
          <w:snapToGrid w:val="0"/>
        </w:rPr>
      </w:pPr>
    </w:p>
    <w:p>
      <w:pPr>
        <w:pStyle w:val="Heading1"/>
      </w:pPr>
      <w:r>
        <w:t>X</w:t>
        <w:tab/>
        <w:t>Schlussbestimmungen</w:t>
      </w:r>
    </w:p>
    <w:p>
      <w:pPr>
        <w:pStyle w:val="Heading9"/>
      </w:pPr>
      <w:bookmarkStart w:id="30" w:name="_Toc495831187"/>
      <w:bookmarkStart w:id="31" w:name="_Toc495980674"/>
      <w:bookmarkStart w:id="32" w:name="_Toc495986539"/>
      <w:r>
        <w:rPr>
          <w:b/>
          <w:bCs/>
        </w:rPr>
        <w:t>Art. 67</w:t>
      </w:r>
      <w:r>
        <w:tab/>
      </w:r>
      <w:bookmarkEnd w:id="30"/>
      <w:bookmarkEnd w:id="31"/>
      <w:bookmarkEnd w:id="32"/>
      <w:r>
        <w:t>Transparenz</w:t>
      </w:r>
    </w:p>
    <w:p>
      <w:pPr>
        <w:pStyle w:val="Absatz"/>
      </w:pPr>
      <w:r>
        <w:t>1.  Die Vertragsparteien veröffentlichen ihre Gesetze, Vorschriften, Verfahren, Ve</w:t>
      </w:r>
      <w:r>
        <w:t>r</w:t>
      </w:r>
      <w:r>
        <w:t>waltungsentscheide und gerichtlichen Entscheide von allgemeiner Tragweite sowie die relevanten internationalen Abkommen, welche die Durchführung dieses A</w:t>
      </w:r>
      <w:r>
        <w:t>b</w:t>
      </w:r>
      <w:r>
        <w:t>kommens berühren könnten, oder machen sie anderweitig zugänglich.</w:t>
      </w:r>
    </w:p>
    <w:p>
      <w:pPr>
        <w:pStyle w:val="Absatz"/>
      </w:pPr>
      <w:r>
        <w:t>2.  Die Vertragsparteien beantworten umgehend alle spezifischen Anfragen und stellen sich auf Ersuchen Informationen über die in Absatz 1 erwähnten Angelege</w:t>
      </w:r>
      <w:r>
        <w:t>n</w:t>
      </w:r>
      <w:r>
        <w:t>he</w:t>
      </w:r>
      <w:r>
        <w:t>i</w:t>
      </w:r>
      <w:r>
        <w:t>ten zur Verfügung.</w:t>
      </w:r>
    </w:p>
    <w:p>
      <w:pPr>
        <w:pStyle w:val="Absatz"/>
      </w:pPr>
      <w:r>
        <w:t>3.  Keine Bestimmung in diesem Abkommen verlangt von einer Vertragspartei, vertrauliche Informationen offenzulegen, die die Durchsetzung ihrer Gesetze behi</w:t>
      </w:r>
      <w:r>
        <w:t>n</w:t>
      </w:r>
      <w:r>
        <w:t>dern, sonst gegen das öffentliche Interesse verstossen oder den berechtigten ko</w:t>
      </w:r>
      <w:r>
        <w:t>m</w:t>
      </w:r>
      <w:r>
        <w:t>merzie</w:t>
      </w:r>
      <w:r>
        <w:t>l</w:t>
      </w:r>
      <w:r>
        <w:t>len Interessen eines Wirtschaftsakteurs schaden würden.</w:t>
      </w:r>
    </w:p>
    <w:p>
      <w:pPr>
        <w:pStyle w:val="Heading9"/>
      </w:pPr>
      <w:r>
        <w:rPr>
          <w:b/>
          <w:bCs/>
        </w:rPr>
        <w:t>Art. 68</w:t>
      </w:r>
      <w:r>
        <w:tab/>
        <w:t>Anhänge und Appendizes</w:t>
      </w:r>
    </w:p>
    <w:p>
      <w:pPr>
        <w:pStyle w:val="Absatz"/>
      </w:pPr>
      <w:r>
        <w:t>Die Anhänge und Appendizes dieses Abkommens sind Bestandteil dieses Abko</w:t>
      </w:r>
      <w:r>
        <w:t>m</w:t>
      </w:r>
      <w:r>
        <w:t>mens.</w:t>
      </w:r>
    </w:p>
    <w:p>
      <w:pPr>
        <w:pStyle w:val="Heading9"/>
      </w:pPr>
      <w:bookmarkStart w:id="33" w:name="_Toc495831189"/>
      <w:bookmarkStart w:id="34" w:name="_Toc495980678"/>
      <w:bookmarkStart w:id="35" w:name="_Toc495986543"/>
      <w:r>
        <w:rPr>
          <w:b/>
          <w:bCs/>
        </w:rPr>
        <w:t>Art. 69</w:t>
      </w:r>
      <w:r>
        <w:tab/>
      </w:r>
      <w:bookmarkEnd w:id="33"/>
      <w:bookmarkEnd w:id="34"/>
      <w:bookmarkEnd w:id="35"/>
      <w:r>
        <w:t>Änderungen</w:t>
      </w:r>
    </w:p>
    <w:p>
      <w:pPr>
        <w:pStyle w:val="Absatz"/>
      </w:pPr>
      <w:r>
        <w:t>1.  Änderungen dieses Abkommens werden nach ihrer Genehmigung durch den Gemischten Ausschuss den Vertragsparteien zur Ratifikation, Annahme oder G</w:t>
      </w:r>
      <w:r>
        <w:t>e</w:t>
      </w:r>
      <w:r>
        <w:t>nehmigung gemäss den verfassungsrechtlichen Verfahren jeder Vertragspartei unte</w:t>
      </w:r>
      <w:r>
        <w:t>r</w:t>
      </w:r>
      <w:r>
        <w:t>breitet.</w:t>
      </w:r>
    </w:p>
    <w:p>
      <w:pPr>
        <w:pStyle w:val="Absatz"/>
      </w:pPr>
      <w:r>
        <w:t>2.  Soweit der Gemischte Ausschuss nichts anderes beschliesst, treten die Änderu</w:t>
      </w:r>
      <w:r>
        <w:t>n</w:t>
      </w:r>
      <w:r>
        <w:t>gen am ersten Tag des dritten Monats nach Hinterlegung der letzten Ratifikations</w:t>
      </w:r>
      <w:r>
        <w:noBreakHyphen/>
        <w:t>, Annahme- oder Genehmigungsurkunde in Kraft.</w:t>
      </w:r>
    </w:p>
    <w:p>
      <w:pPr>
        <w:pStyle w:val="Absatz"/>
      </w:pPr>
      <w:r>
        <w:t>3.  Der Änderungstext sowie die Ratifikations-, Annahme- oder Genehmigungs</w:t>
      </w:r>
      <w:r>
        <w:softHyphen/>
        <w:t>urkunden werden beim Depositar hinterlegt.</w:t>
      </w:r>
    </w:p>
    <w:p>
      <w:pPr>
        <w:pStyle w:val="Heading9"/>
      </w:pPr>
      <w:bookmarkStart w:id="36" w:name="_Toc495831190"/>
      <w:bookmarkStart w:id="37" w:name="_Toc495980680"/>
      <w:bookmarkStart w:id="38" w:name="_Toc495986545"/>
      <w:r>
        <w:rPr>
          <w:b/>
          <w:bCs/>
        </w:rPr>
        <w:t>Art. 70</w:t>
      </w:r>
      <w:r>
        <w:tab/>
      </w:r>
      <w:bookmarkEnd w:id="36"/>
      <w:bookmarkEnd w:id="37"/>
      <w:bookmarkEnd w:id="38"/>
      <w:r>
        <w:t>Beitritt</w:t>
      </w:r>
    </w:p>
    <w:p>
      <w:pPr>
        <w:pStyle w:val="Absatz"/>
      </w:pPr>
      <w:r>
        <w:t>Jeder Drittstaat kann diesem Abkommen beitreten. Die Beitrittsbedingungen sind zwischen dem betreffenden Drittstaat und den Vertragsparteien auszuhandeln.</w:t>
      </w:r>
    </w:p>
    <w:p>
      <w:pPr>
        <w:pStyle w:val="Heading9"/>
      </w:pPr>
      <w:bookmarkStart w:id="39" w:name="_Toc495831191"/>
      <w:bookmarkStart w:id="40" w:name="_Toc495980682"/>
      <w:bookmarkStart w:id="41" w:name="_Toc495986547"/>
      <w:r>
        <w:rPr>
          <w:b/>
          <w:bCs/>
        </w:rPr>
        <w:t>Art. 71</w:t>
      </w:r>
      <w:r>
        <w:tab/>
      </w:r>
      <w:bookmarkEnd w:id="39"/>
      <w:bookmarkEnd w:id="40"/>
      <w:bookmarkEnd w:id="41"/>
      <w:r>
        <w:t>Rücktritt und Beendigung</w:t>
      </w:r>
    </w:p>
    <w:p>
      <w:pPr>
        <w:pStyle w:val="Absatz"/>
      </w:pPr>
      <w:r>
        <w:t>1.  Jede Vertragspartei kann mit der Einreichung einer schriftlichen Notifikation an den Depositar von diesem Abkommen zurücktreten. Der Rücktritt wird am ersten Tag des sechsten Monats nach dem Zeitpunkt wirksam, an welchem der Depositar die Notifikation erhalten hat.</w:t>
      </w:r>
    </w:p>
    <w:p>
      <w:pPr>
        <w:pStyle w:val="Absatz"/>
      </w:pPr>
      <w:r>
        <w:t>2.  Tritt Singapur von diesem Abkommen zurück, so endet das Abkommen an dem in Absatz 1 erwähnten Datum.</w:t>
      </w:r>
    </w:p>
    <w:p>
      <w:pPr>
        <w:pStyle w:val="Heading9"/>
      </w:pPr>
      <w:bookmarkStart w:id="42" w:name="_Toc495831192"/>
      <w:bookmarkStart w:id="43" w:name="_Toc495980684"/>
      <w:bookmarkStart w:id="44" w:name="_Toc495986549"/>
      <w:r>
        <w:rPr>
          <w:b/>
          <w:bCs/>
        </w:rPr>
        <w:t>Art. 72</w:t>
      </w:r>
      <w:r>
        <w:tab/>
      </w:r>
      <w:bookmarkEnd w:id="42"/>
      <w:bookmarkEnd w:id="43"/>
      <w:bookmarkEnd w:id="44"/>
      <w:r>
        <w:t>Inkrafttreten</w:t>
      </w:r>
    </w:p>
    <w:p>
      <w:pPr>
        <w:pStyle w:val="Absatz"/>
      </w:pPr>
      <w:r>
        <w:t>1.  Dieses Abkommen unterliegt der Ratifikation, Annahme oder Genehmigung. Die entsprechenden Ratifikations-, Annahme- oder Genehmigungsurkunden werden beim Depositar hinterlegt.</w:t>
      </w:r>
    </w:p>
    <w:p>
      <w:pPr>
        <w:pStyle w:val="Absatz"/>
      </w:pPr>
      <w:r>
        <w:t>2.  Dieses Abkommen tritt für die Unterzeichnerstaaten, die bis zu diesem Datum ihre Ratifikations-, Annahme- oder Genehmigungsurkunde beim Depositar hinte</w:t>
      </w:r>
      <w:r>
        <w:t>r</w:t>
      </w:r>
      <w:r>
        <w:t>legt haben, am 1. Januar 2003 in Kraft, sofern auch Singapur bis dahin seine Ratif</w:t>
      </w:r>
      <w:r>
        <w:t>i</w:t>
      </w:r>
      <w:r>
        <w:t>kat</w:t>
      </w:r>
      <w:r>
        <w:t>i</w:t>
      </w:r>
      <w:r>
        <w:t>ons</w:t>
      </w:r>
      <w:r>
        <w:noBreakHyphen/>
        <w:t>, Annahme- oder Genehmigungsurkunde hinterlegt hat.</w:t>
      </w:r>
    </w:p>
    <w:p>
      <w:pPr>
        <w:pStyle w:val="Absatz"/>
      </w:pPr>
      <w:r>
        <w:t>3.  Hinterlegt ein Unterzeichnerstaat seine Ratifikations-, Annahme- oder Genehm</w:t>
      </w:r>
      <w:r>
        <w:t>i</w:t>
      </w:r>
      <w:r>
        <w:t>gungsurkunde nach dem 1. Januar 2003, so tritt dieses Abkommen für denselben am ersten Tag des dritten Monats nach der Hinterlegung der Ratifikations-, Annahme oder Genehmigungsurkunde in Kraft, sofern dieses Abkommen für die Republik Singapur spätestens zur gleichen Zeit in Kraft tritt.</w:t>
      </w:r>
    </w:p>
    <w:p>
      <w:pPr>
        <w:pStyle w:val="Absatz"/>
      </w:pPr>
      <w:r>
        <w:t>4.  Falls ihre verfassungsmässigen Bestimmungen dies erlauben, darf jede Vertrag</w:t>
      </w:r>
      <w:r>
        <w:t>s</w:t>
      </w:r>
      <w:r>
        <w:t>partei dieses Abkommen während einer Einführungsphase ab dem 1. Januar 2003 provisorisch anwenden. Die provisorische Anwendung des Abkommens wird dem Depositar notifiziert.</w:t>
      </w:r>
    </w:p>
    <w:p>
      <w:pPr>
        <w:pStyle w:val="Heading9"/>
      </w:pPr>
      <w:r>
        <w:rPr>
          <w:b/>
          <w:bCs/>
        </w:rPr>
        <w:t>Art. 73</w:t>
      </w:r>
      <w:r>
        <w:tab/>
        <w:t>Depositar</w:t>
      </w:r>
    </w:p>
    <w:p>
      <w:pPr>
        <w:pStyle w:val="Absatz"/>
      </w:pPr>
      <w:r>
        <w:t>Die Regierung Norwegens ist Depositar dieses Abkommens.</w:t>
      </w:r>
    </w:p>
    <w:p>
      <w:pPr>
        <w:pStyle w:val="Schlussint"/>
      </w:pPr>
      <w:r>
        <w:rPr>
          <w:i/>
          <w:iCs/>
        </w:rPr>
        <w:t>Zu Urkund dessen</w:t>
      </w:r>
      <w:r>
        <w:t xml:space="preserve"> haben die hierzu gebührend bevollmächtigten Unterzeichner di</w:t>
      </w:r>
      <w:r>
        <w:t>e</w:t>
      </w:r>
      <w:r>
        <w:t>ses Abkommen unterschrieben.</w:t>
      </w:r>
    </w:p>
    <w:p>
      <w:pPr>
        <w:pStyle w:val="Absatz"/>
      </w:pPr>
      <w:r>
        <w:t>Geschehen zu Egilsstadir, am 26. Juni 2002, in einer Originalausfertigung in engl</w:t>
      </w:r>
      <w:r>
        <w:t>i</w:t>
      </w:r>
      <w:r>
        <w:t>scher Sprache, die bei der Regierung Norwegens deponiert wird. Der Depositar lässt allen Unterzeichnerstaaten beglaubigte Kopien zukommen.</w:t>
      </w:r>
    </w:p>
    <w:p>
      <w:pPr>
        <w:pStyle w:val="Abstand18pt"/>
      </w:pPr>
    </w:p>
    <w:p>
      <w:pPr>
        <w:pStyle w:val="Absatzkurs"/>
      </w:pPr>
      <w:r>
        <w:t>(Es folgen die Unterschriften)</w:t>
      </w:r>
    </w:p>
    <w:p>
      <w:pPr>
        <w:pStyle w:val="Abstand18pt"/>
      </w:pPr>
    </w:p>
    <w:p>
      <w:pPr>
        <w:pStyle w:val="Abstand18pt"/>
      </w:pPr>
    </w:p>
    <w:p>
      <w:pPr>
        <w:pStyle w:val="Heading1"/>
      </w:pPr>
      <w:r>
        <w:t>Verständigungsprotokoll</w:t>
      </w:r>
    </w:p>
    <w:p>
      <w:pPr>
        <w:pStyle w:val="Abstand18pt"/>
      </w:pPr>
    </w:p>
    <w:p>
      <w:pPr>
        <w:pStyle w:val="ErlassLinie"/>
      </w:pPr>
    </w:p>
    <w:p>
      <w:pPr>
        <w:pStyle w:val="Heading2"/>
      </w:pPr>
      <w:r>
        <w:t>Kapitel II, III und IV</w:t>
      </w:r>
    </w:p>
    <w:p>
      <w:pPr>
        <w:pStyle w:val="Abstand4pt"/>
      </w:pPr>
    </w:p>
    <w:p>
      <w:pPr>
        <w:pStyle w:val="Absatz"/>
      </w:pPr>
      <w:r>
        <w:t xml:space="preserve">Wo </w:t>
      </w:r>
      <w:r>
        <w:rPr>
          <w:snapToGrid w:val="0"/>
        </w:rPr>
        <w:t>in den Artikeln 19 und 33 dieselben Begriffe wie in Artikel XX GATT 1994 und in Artikel XIV GATS benutzt werden, werden diese im Lichte der betreffenden Entscheide nach dem GATT/WTO-Streitbeilegungsverfahren</w:t>
      </w:r>
      <w:r>
        <w:rPr>
          <w:rStyle w:val="FootnoteReference"/>
          <w:noProof w:val="0"/>
          <w:snapToGrid w:val="0"/>
          <w:lang w:val="de-CH" w:eastAsia="de-DE"/>
        </w:rPr>
        <w:footnoteReference w:id="34"/>
      </w:r>
      <w:r>
        <w:rPr>
          <w:snapToGrid w:val="0"/>
        </w:rPr>
        <w:t xml:space="preserve"> ausgelegt.</w:t>
      </w:r>
    </w:p>
    <w:p>
      <w:pPr>
        <w:pStyle w:val="Absatz"/>
      </w:pPr>
      <w:r>
        <w:t>Es besteht Einvernehmen darüber, dass die Kapitel II, III und IV für die Teleko</w:t>
      </w:r>
      <w:r>
        <w:t>m</w:t>
      </w:r>
      <w:r>
        <w:t>munikationsinfrastruktur der Vertragsparteien gelten. Nichts hindert jedoch eine Vertragspartei daran, Massnahmen zu ergreifen, die zum Schutz ihrer kritischen Telekommunikationsinfrastruktur vor vorsätzlichen Versuchen, diese Infrastruktur u</w:t>
      </w:r>
      <w:r>
        <w:t>n</w:t>
      </w:r>
      <w:r>
        <w:t>brauchbar zu machen oder zu beschädigen, erforderlich sind. Voraussetzung dafür ist, dass solche Massnahmen kein Mittel zur willkürlichen oder ungerechtfertigten Diskriminierung und keine verschleierte Beschränkung des Warenhandels, des Dienst</w:t>
      </w:r>
      <w:r>
        <w:softHyphen/>
        <w:t>leistungsverkehrs oder der Investitionstätigkeit darstellen.</w:t>
      </w:r>
    </w:p>
    <w:p>
      <w:pPr>
        <w:pStyle w:val="Abstand18pt"/>
      </w:pPr>
    </w:p>
    <w:p>
      <w:pPr>
        <w:pStyle w:val="Heading2"/>
      </w:pPr>
      <w:r>
        <w:t>Kapitel II</w:t>
      </w:r>
    </w:p>
    <w:p>
      <w:pPr>
        <w:pStyle w:val="Abstand4pt"/>
      </w:pPr>
    </w:p>
    <w:p>
      <w:pPr>
        <w:pStyle w:val="Abstand4pt"/>
      </w:pPr>
    </w:p>
    <w:p>
      <w:pPr>
        <w:pStyle w:val="Absatzkurs"/>
      </w:pPr>
      <w:r>
        <w:t>Art. 7</w:t>
      </w:r>
    </w:p>
    <w:p>
      <w:pPr>
        <w:pStyle w:val="Tab-Utit9pt-kurs"/>
      </w:pPr>
      <w:r>
        <w:t>Betreffend Risk Management</w:t>
      </w:r>
    </w:p>
    <w:p>
      <w:pPr>
        <w:pStyle w:val="Absatz"/>
      </w:pPr>
      <w:r>
        <w:t>Die Vertragsparteien anerkennen, dass eine selektive Anwendung staatlicher Ko</w:t>
      </w:r>
      <w:r>
        <w:t>n</w:t>
      </w:r>
      <w:r>
        <w:t>trollen, die auf den Grundsätzen der Risikoabschätzung beruht, die Möglichkeit bi</w:t>
      </w:r>
      <w:r>
        <w:t>e</w:t>
      </w:r>
      <w:r>
        <w:t>tet, den Handel zu fördern und gleichzeitig die Einhaltung von Grenzkontrollen zu verbessern.</w:t>
      </w:r>
    </w:p>
    <w:p>
      <w:pPr>
        <w:pStyle w:val="Tab-Utit9pt-kurs"/>
      </w:pPr>
      <w:r>
        <w:t>Betreffend Nutzung der Informationstechnologie</w:t>
      </w:r>
    </w:p>
    <w:p>
      <w:pPr>
        <w:pStyle w:val="Absatz"/>
        <w:rPr>
          <w:snapToGrid w:val="0"/>
          <w:color w:val="000000"/>
        </w:rPr>
      </w:pPr>
      <w:r>
        <w:rPr>
          <w:snapToGrid w:val="0"/>
          <w:color w:val="000000"/>
        </w:rPr>
        <w:t>Die Vertragsparteien anerkennen ihr gemeinsames Ziel, den Interessen ihrer jeweil</w:t>
      </w:r>
      <w:r>
        <w:rPr>
          <w:snapToGrid w:val="0"/>
          <w:color w:val="000000"/>
        </w:rPr>
        <w:t>i</w:t>
      </w:r>
      <w:r>
        <w:rPr>
          <w:snapToGrid w:val="0"/>
          <w:color w:val="000000"/>
        </w:rPr>
        <w:t>gen Unternehmenskreise zu dienen und ein Handelsumfeld zu schaffen, das es di</w:t>
      </w:r>
      <w:r>
        <w:rPr>
          <w:snapToGrid w:val="0"/>
          <w:color w:val="000000"/>
        </w:rPr>
        <w:t>e</w:t>
      </w:r>
      <w:r>
        <w:rPr>
          <w:snapToGrid w:val="0"/>
          <w:color w:val="000000"/>
        </w:rPr>
        <w:t>sen erlaubt, die Chancen dieses Abkommens zu nutzen.</w:t>
      </w:r>
    </w:p>
    <w:p>
      <w:pPr>
        <w:pStyle w:val="Absatz"/>
        <w:rPr>
          <w:snapToGrid w:val="0"/>
          <w:color w:val="000000"/>
        </w:rPr>
      </w:pPr>
      <w:r>
        <w:rPr>
          <w:snapToGrid w:val="0"/>
          <w:color w:val="000000"/>
        </w:rPr>
        <w:t>Die Vertragsparteien bekräftigen ihre Verpflichtung, effiziente Handelsverfahren zu verwenden, um Kosten und unnötige Verzögerungen im Handel zwischen ihnen zu verringern. Die Zollverwaltungen der Vertragsparteien stellen elektronische Einric</w:t>
      </w:r>
      <w:r>
        <w:rPr>
          <w:snapToGrid w:val="0"/>
          <w:color w:val="000000"/>
        </w:rPr>
        <w:t>h</w:t>
      </w:r>
      <w:r>
        <w:rPr>
          <w:snapToGrid w:val="0"/>
          <w:color w:val="000000"/>
        </w:rPr>
        <w:t>tungen bereit, welche Transaktionen zwischen den Zollverwaltungen und ihren j</w:t>
      </w:r>
      <w:r>
        <w:rPr>
          <w:snapToGrid w:val="0"/>
          <w:color w:val="000000"/>
        </w:rPr>
        <w:t>e</w:t>
      </w:r>
      <w:r>
        <w:rPr>
          <w:snapToGrid w:val="0"/>
          <w:color w:val="000000"/>
        </w:rPr>
        <w:t>weiligen Handelsunternehmen erleichtern.</w:t>
      </w:r>
    </w:p>
    <w:p>
      <w:pPr>
        <w:pStyle w:val="Tab-Utit9pt-kurs"/>
      </w:pPr>
      <w:r>
        <w:t>Austausch von Best Practices</w:t>
      </w:r>
    </w:p>
    <w:p>
      <w:pPr>
        <w:pStyle w:val="Absatz"/>
        <w:rPr>
          <w:snapToGrid w:val="0"/>
        </w:rPr>
      </w:pPr>
      <w:r>
        <w:rPr>
          <w:snapToGrid w:val="0"/>
        </w:rPr>
        <w:t>Die Vertragsparteien kommen überein, Initiativen für den Informationsaustausch über Best Practices in Bezug auf Zollverfahren zu fördern.</w:t>
      </w:r>
    </w:p>
    <w:p>
      <w:pPr>
        <w:pStyle w:val="Abstand18pt"/>
        <w:rPr>
          <w:snapToGrid w:val="0"/>
        </w:rPr>
      </w:pPr>
    </w:p>
    <w:p>
      <w:pPr>
        <w:pStyle w:val="Heading2"/>
      </w:pPr>
      <w:r>
        <w:t>Kapitel III, IV und VI</w:t>
      </w:r>
    </w:p>
    <w:p>
      <w:pPr>
        <w:pStyle w:val="Abstand4pt"/>
      </w:pPr>
    </w:p>
    <w:p>
      <w:pPr>
        <w:pStyle w:val="Absatz"/>
        <w:rPr>
          <w:i/>
          <w:iCs/>
        </w:rPr>
      </w:pPr>
      <w:r>
        <w:t>Für die Zwecke dieses Abkommens werden die Aktivitäten von Nicht-Regierungs</w:t>
      </w:r>
      <w:r>
        <w:softHyphen/>
        <w:t>stellen, einschliesslich solchen, an denen die Regierung von Singapur oder eines EFTA-Staates Anteile besitzt, nicht als Massnahmen erachtet, die von Singapur oder einem EFTA-Staat getroffen werden, sofern diese Stellen nicht durch ihre jeweilige Regierung delegierte Befugnisse ausüben</w:t>
      </w:r>
      <w:r>
        <w:rPr>
          <w:i/>
          <w:iCs/>
        </w:rPr>
        <w:t>.</w:t>
      </w:r>
    </w:p>
    <w:p>
      <w:pPr>
        <w:pStyle w:val="Abstand18pt"/>
      </w:pPr>
    </w:p>
    <w:p>
      <w:pPr>
        <w:pStyle w:val="Heading2"/>
      </w:pPr>
      <w:r>
        <w:t>Kapitel III</w:t>
      </w:r>
    </w:p>
    <w:p>
      <w:pPr>
        <w:pStyle w:val="Abstand4pt"/>
      </w:pPr>
    </w:p>
    <w:p>
      <w:pPr>
        <w:pStyle w:val="Absatz"/>
      </w:pPr>
      <w:r>
        <w:t>Bei den Erbringungsarten grenzüberschreitende Dienstleistungserbringung und Kon</w:t>
      </w:r>
      <w:r>
        <w:softHyphen/>
        <w:t>sum im Ausland, wie sie in Artikel 22 definiert sind, soll die den Dienstleis</w:t>
      </w:r>
      <w:r>
        <w:softHyphen/>
        <w:t>tungserbringern gewährte Behandlung für den Fall, dass eine Bankdienstleistung nicht direkt von einer juristischen Person, sondern durch eine Zweigstelle erbracht wird, trotzdem auf die Zweigstelle ausgedehnt werden, welche die Dienstleistung erbringt. Es gelten folgende Bedingungen:</w:t>
      </w:r>
    </w:p>
    <w:p>
      <w:pPr>
        <w:pStyle w:val="Struktur1"/>
      </w:pPr>
      <w:r>
        <w:t>–</w:t>
        <w:tab/>
        <w:t>In der Rechtsordnung der Vertragspartei, von der aus die Dienstleistung e</w:t>
      </w:r>
      <w:r>
        <w:t>r</w:t>
      </w:r>
      <w:r>
        <w:t>bracht wird, ist die Zweigstelle den gleichen finanziellen Haftungsverpflic</w:t>
      </w:r>
      <w:r>
        <w:t>h</w:t>
      </w:r>
      <w:r>
        <w:t>tungen unterworfen wie eine juristische Person und ist gleichwertigen Au</w:t>
      </w:r>
      <w:r>
        <w:t>f</w:t>
      </w:r>
      <w:r>
        <w:t>sichtsbedingungen sowie finanziellen, organisatorischen oder anderen ähnlichen Bestimmungen unterstellt wie eine juristische Person; sollten sich Unterschiede bezüglich der Aufsichtsbedingungen sowie der finanziellen, org</w:t>
      </w:r>
      <w:r>
        <w:t>a</w:t>
      </w:r>
      <w:r>
        <w:t>nisatorischen oder anderen ähnlichen Bestimmungen aus den inhärenten Merkmalen einer Zweigstelle im Vergleich zu einer juristischen Person e</w:t>
      </w:r>
      <w:r>
        <w:t>r</w:t>
      </w:r>
      <w:r>
        <w:t>geben, sollen diese Erfordernisse als gleichwertig gelten.</w:t>
      </w:r>
    </w:p>
    <w:p>
      <w:pPr>
        <w:pStyle w:val="Struktur1"/>
      </w:pPr>
      <w:r>
        <w:t>–</w:t>
        <w:tab/>
        <w:t>Die Zweigstelle verfügt über eine wirksame und ständige Verbindung mit der Wirtschaft der Vertragspartei, von der aus die Dienstleistung erbracht wird.</w:t>
      </w:r>
    </w:p>
    <w:p>
      <w:pPr>
        <w:pStyle w:val="Struktur1"/>
      </w:pPr>
      <w:r>
        <w:t>–</w:t>
        <w:tab/>
        <w:t>Die juristische Person untersteht einer konsolidierten Aufsicht durch die z</w:t>
      </w:r>
      <w:r>
        <w:t>u</w:t>
      </w:r>
      <w:r>
        <w:t>ständige Behörde des Rechtsraums, nach dessen Recht sie gegründet ist.</w:t>
      </w:r>
    </w:p>
    <w:p>
      <w:pPr>
        <w:pStyle w:val="Struktur1"/>
      </w:pPr>
      <w:r>
        <w:t>–</w:t>
        <w:tab/>
        <w:t>Die juristische Person ist nach dem Recht eines WTO-Mitglieds gegründet, gegenüber dem die Vertragspartei, in welche die Dienstleistung erbracht wird, die multilateralen Handelsvereinbarungen der Anhänge 1 und 2 des WTO-Abkommens anwendet.</w:t>
      </w:r>
    </w:p>
    <w:p>
      <w:pPr>
        <w:pStyle w:val="Absatz"/>
      </w:pPr>
      <w:r>
        <w:t>Diese Behandlung wird Betriebsteilen des Dienstleistungserbringers nicht gewährt, die sich ausserhalb des Hoheitsgebiets der Vertragspartei befinden, von der aus die Dienstleistung erbracht wird.</w:t>
      </w:r>
    </w:p>
    <w:p>
      <w:pPr>
        <w:pStyle w:val="Abstand18pt"/>
      </w:pPr>
    </w:p>
    <w:p>
      <w:pPr>
        <w:pStyle w:val="Heading2"/>
      </w:pPr>
      <w:r>
        <w:t>Kapitel IV</w:t>
      </w:r>
    </w:p>
    <w:p>
      <w:pPr>
        <w:pStyle w:val="Abstand4pt"/>
      </w:pPr>
    </w:p>
    <w:p>
      <w:pPr>
        <w:pStyle w:val="Absatz"/>
      </w:pPr>
      <w:r>
        <w:t>Kapitel IV auferlegt einer Vertragspartei keine Verpflichtungen in Bezug auf das ö</w:t>
      </w:r>
      <w:r>
        <w:t>f</w:t>
      </w:r>
      <w:r>
        <w:t>fentliche Beschaffungswesen abgesehen davon, dass die Gesetze über öffentliche Beschaffungen und deren Vollzug nicht-diskriminierend sein müssen.</w:t>
      </w:r>
    </w:p>
    <w:p>
      <w:pPr>
        <w:pStyle w:val="Abstand4pt"/>
      </w:pPr>
    </w:p>
    <w:p>
      <w:pPr>
        <w:pStyle w:val="Abstand4pt"/>
      </w:pPr>
    </w:p>
    <w:p>
      <w:pPr>
        <w:pStyle w:val="Absatzkurs"/>
      </w:pPr>
      <w:r>
        <w:t>Art. 37</w:t>
      </w:r>
    </w:p>
    <w:p>
      <w:pPr>
        <w:pStyle w:val="Absatz"/>
      </w:pPr>
      <w:r>
        <w:t>Die Vertragsparteien kommen überein, die Definition «Investor einer Vertragspa</w:t>
      </w:r>
      <w:r>
        <w:t>r</w:t>
      </w:r>
      <w:r>
        <w:t>tei» am ersten Treffen des Gemischten Ausschuss zu überprüfen und die Aufnahme von Zweigstellen in diese Definition wohlwollend in Betracht zu ziehen.</w:t>
      </w:r>
    </w:p>
    <w:p>
      <w:pPr>
        <w:pStyle w:val="Abstand4pt"/>
      </w:pPr>
    </w:p>
    <w:p>
      <w:pPr>
        <w:pStyle w:val="Abstand4pt"/>
      </w:pPr>
    </w:p>
    <w:p>
      <w:pPr>
        <w:pStyle w:val="Absatzkurs"/>
      </w:pPr>
      <w:r>
        <w:t>Art. 40</w:t>
      </w:r>
    </w:p>
    <w:p>
      <w:pPr>
        <w:pStyle w:val="Absatz"/>
      </w:pPr>
      <w:r>
        <w:t>Die Pflicht einer Vertragspartei zur Gewährung der Meistbegünstigung, wie sie in Artikel 40 Absatz 1 definiert ist, gilt nicht für Zugeständnisse, die im Rahmen von Investitionsabkommen eingegangen wurden, welche durch eine Vertragspartei vor dem Abschluss dieses Abkommens abgeschlossen wurden. Es besteht auch Ein</w:t>
      </w:r>
      <w:r>
        <w:softHyphen/>
        <w:t>vernehmen darüber, dass die Meistbegünstigungsverpflichtung nicht auf Zugestän</w:t>
      </w:r>
      <w:r>
        <w:t>d</w:t>
      </w:r>
      <w:r>
        <w:t>nisse angewendet wird, die im Rahmen anderer, als den in Artikel 40 Absatz 2 g</w:t>
      </w:r>
      <w:r>
        <w:t>e</w:t>
      </w:r>
      <w:r>
        <w:t>nannten, von einer Vertragspartei abgeschlossenen Abkommen gewährt werden, ausser die Meistbegünstigung oder Nichtdiskriminierung werde in den entspreche</w:t>
      </w:r>
      <w:r>
        <w:t>n</w:t>
      </w:r>
      <w:r>
        <w:t>den Artikeln des Kapitels IV ausdrücklich erwähnt.</w:t>
      </w:r>
    </w:p>
    <w:p>
      <w:pPr>
        <w:pStyle w:val="Absatz"/>
      </w:pPr>
      <w:r>
        <w:t>Die in Artikel 40 Absatz 3 angeführten Politiken schliessen auch Massnahmen ein, die dazu dienen, die kulturelle und sprachliche Vielfalt zu bewahren und zu fördern.</w:t>
      </w:r>
    </w:p>
    <w:p>
      <w:pPr>
        <w:pStyle w:val="Abstand4pt"/>
      </w:pPr>
    </w:p>
    <w:p>
      <w:pPr>
        <w:pStyle w:val="Abstand4pt"/>
      </w:pPr>
    </w:p>
    <w:p>
      <w:pPr>
        <w:pStyle w:val="Absatzkurs"/>
      </w:pPr>
      <w:r>
        <w:t>Art. 42</w:t>
      </w:r>
    </w:p>
    <w:p>
      <w:pPr>
        <w:pStyle w:val="Absatz"/>
      </w:pPr>
      <w:r>
        <w:t>In Zusammenhang mit Artikel 42 bestätigen die Vertragsparteien die Auffassung, dass der Begriff «öffentliches Interesse» die im geltenden Gesetz von Singapur erwähnten Ziele der Enteignung von Grund und Boden einschliesst und dass Ko</w:t>
      </w:r>
      <w:r>
        <w:t>m</w:t>
      </w:r>
      <w:r>
        <w:t>pensation entsprechend den Bestimmungen dieses Gesetzes gewährt wird.</w:t>
      </w:r>
    </w:p>
    <w:p>
      <w:pPr>
        <w:pStyle w:val="Abstand4pt"/>
      </w:pPr>
    </w:p>
    <w:p>
      <w:pPr>
        <w:pStyle w:val="Abstand4pt"/>
      </w:pPr>
    </w:p>
    <w:p>
      <w:pPr>
        <w:pStyle w:val="Absatzkurs"/>
      </w:pPr>
      <w:r>
        <w:t>Art. 44</w:t>
      </w:r>
    </w:p>
    <w:p>
      <w:pPr>
        <w:pStyle w:val="Absatz"/>
        <w:rPr>
          <w:rFonts w:ascii="Times" w:hAnsi="Times" w:cs="Times"/>
        </w:rPr>
      </w:pPr>
      <w:r>
        <w:rPr>
          <w:rFonts w:ascii="Times" w:hAnsi="Times" w:cs="Times"/>
        </w:rPr>
        <w:t>Es besteht Einvernehmen darüber, dass für die Zwecke dieses Kapitels «frei konve</w:t>
      </w:r>
      <w:r>
        <w:rPr>
          <w:rFonts w:ascii="Times" w:hAnsi="Times" w:cs="Times"/>
        </w:rPr>
        <w:t>r</w:t>
      </w:r>
      <w:r>
        <w:rPr>
          <w:rFonts w:ascii="Times" w:hAnsi="Times" w:cs="Times"/>
        </w:rPr>
        <w:t>tierbare Währung» die Währungen der Vertragsparteien einschliesst und dass Art</w:t>
      </w:r>
      <w:r>
        <w:rPr>
          <w:rFonts w:ascii="Times" w:hAnsi="Times" w:cs="Times"/>
        </w:rPr>
        <w:t>i</w:t>
      </w:r>
      <w:r>
        <w:rPr>
          <w:rFonts w:ascii="Times" w:hAnsi="Times" w:cs="Times"/>
        </w:rPr>
        <w:t>kel 44 Absatz 3 die Politik einer Vertragspartei hinsichtlich der Internationalisierung ihrer eigenen Währung nicht berührt.</w:t>
      </w:r>
    </w:p>
    <w:p>
      <w:pPr>
        <w:pStyle w:val="Abstand4pt"/>
      </w:pPr>
    </w:p>
    <w:p>
      <w:pPr>
        <w:pStyle w:val="Abstand4pt"/>
      </w:pPr>
    </w:p>
    <w:p>
      <w:pPr>
        <w:pStyle w:val="Absatzkurs"/>
      </w:pPr>
      <w:r>
        <w:t>Art. 49</w:t>
      </w:r>
    </w:p>
    <w:p>
      <w:pPr>
        <w:pStyle w:val="Absatz"/>
      </w:pPr>
      <w:r>
        <w:t>Es besteht Einvernehmen darüber, dass die in Artikel 49 erwähnten Ausnahmen für Investitionen in allen Sektoren gelten.</w:t>
      </w:r>
    </w:p>
    <w:p>
      <w:pPr>
        <w:pStyle w:val="Absatz"/>
      </w:pPr>
      <w:r>
        <w:t>In Bezug auf den Verweis auf Artikel 19 Buchstabe (e) von Kapitel II besteht Ei</w:t>
      </w:r>
      <w:r>
        <w:t>n</w:t>
      </w:r>
      <w:r>
        <w:t>vernehmen darüber, dass «Erzeugnisse aus Strafanstaltsarbeit» im Zusammenhang mit diesem Kapitel «Strafanstaltsarbeit» bedeutet.</w:t>
      </w:r>
    </w:p>
    <w:p>
      <w:pPr>
        <w:pStyle w:val="Abstand4pt"/>
      </w:pPr>
    </w:p>
    <w:p>
      <w:pPr>
        <w:pStyle w:val="Abstand4pt"/>
      </w:pPr>
    </w:p>
    <w:p>
      <w:pPr>
        <w:pStyle w:val="Abstand4pt"/>
      </w:pPr>
    </w:p>
    <w:p>
      <w:pPr>
        <w:pStyle w:val="Abstand4pt"/>
      </w:pPr>
    </w:p>
    <w:p>
      <w:pPr>
        <w:pStyle w:val="Abstand4pt"/>
      </w:pPr>
    </w:p>
    <w:p>
      <w:pPr>
        <w:pStyle w:val="Abstand4pt"/>
      </w:pPr>
    </w:p>
    <w:p>
      <w:pPr>
        <w:pStyle w:val="Abstand4pt"/>
      </w:pPr>
    </w:p>
    <w:p>
      <w:pPr>
        <w:pStyle w:val="Abstand4pt"/>
      </w:pPr>
    </w:p>
    <w:p>
      <w:pPr>
        <w:pStyle w:val="Abstand4pt"/>
      </w:pPr>
    </w:p>
    <w:p>
      <w:pPr>
        <w:pStyle w:val="Abstand4pt"/>
      </w:pPr>
    </w:p>
    <w:p>
      <w:pPr>
        <w:pStyle w:val="Abstand4pt"/>
      </w:pPr>
    </w:p>
    <w:p>
      <w:pPr>
        <w:pStyle w:val="Abstand4pt"/>
      </w:pPr>
    </w:p>
    <w:p>
      <w:pPr>
        <w:pStyle w:val="Abstand4pt"/>
      </w:pPr>
    </w:p>
    <w:p>
      <w:pPr>
        <w:pStyle w:val="Abstand4pt"/>
      </w:pPr>
    </w:p>
    <w:p>
      <w:pPr>
        <w:pStyle w:val="Abstand4pt"/>
      </w:pPr>
    </w:p>
    <w:p>
      <w:pPr>
        <w:pStyle w:val="Abstand18pt"/>
      </w:pPr>
    </w:p>
    <w:p>
      <w:pPr>
        <w:pStyle w:val="Heading2"/>
      </w:pPr>
      <w:r>
        <w:t>Anhang VII</w:t>
      </w:r>
    </w:p>
    <w:p>
      <w:pPr>
        <w:pStyle w:val="Abstand4pt"/>
      </w:pPr>
    </w:p>
    <w:p>
      <w:pPr>
        <w:pStyle w:val="Absatz"/>
        <w:rPr>
          <w:snapToGrid w:val="0"/>
        </w:rPr>
      </w:pPr>
      <w:r>
        <w:rPr>
          <w:snapToGrid w:val="0"/>
        </w:rPr>
        <w:t xml:space="preserve">Singapur stellt klar, dass der Satz «können vorerst eine Aufenthaltsbewilligung von bis zu einem Monat nach der Einreise erhalten» in der Verpflichtung </w:t>
      </w:r>
      <w:r>
        <w:rPr>
          <w:i/>
          <w:iCs/>
          <w:snapToGrid w:val="0"/>
        </w:rPr>
        <w:t xml:space="preserve">«C. Angestellte juristischer Personen, die eine gewerbliche Niederlassung in </w:t>
      </w:r>
      <w:r>
        <w:rPr>
          <w:i/>
          <w:iCs/>
        </w:rPr>
        <w:t xml:space="preserve">Singapur errichten wollen» </w:t>
      </w:r>
      <w:r>
        <w:t>in den horizontalen Verpflichtungen des Appendix 1 zu Anhang VII</w:t>
      </w:r>
      <w:r>
        <w:rPr>
          <w:snapToGrid w:val="0"/>
        </w:rPr>
        <w:t xml:space="preserve"> bede</w:t>
      </w:r>
      <w:r>
        <w:rPr>
          <w:snapToGrid w:val="0"/>
        </w:rPr>
        <w:t>u</w:t>
      </w:r>
      <w:r>
        <w:rPr>
          <w:snapToGrid w:val="0"/>
        </w:rPr>
        <w:t>tet, dass Geschäftsbesuchern, welche sämtliche Bedingungen dieser Verpflichtung erfüllen, die Einreise- und Aufenthaltsbewilligung für den von der betreffenden Pe</w:t>
      </w:r>
      <w:r>
        <w:rPr>
          <w:snapToGrid w:val="0"/>
        </w:rPr>
        <w:t>r</w:t>
      </w:r>
      <w:r>
        <w:rPr>
          <w:snapToGrid w:val="0"/>
        </w:rPr>
        <w:t xml:space="preserve">son </w:t>
      </w:r>
      <w:r>
        <w:t xml:space="preserve">beantragten </w:t>
      </w:r>
      <w:r>
        <w:rPr>
          <w:snapToGrid w:val="0"/>
        </w:rPr>
        <w:t>Zeitraum oder für 30 Tage gewährt wird, je nachdem, welcher Zei</w:t>
      </w:r>
      <w:r>
        <w:rPr>
          <w:snapToGrid w:val="0"/>
        </w:rPr>
        <w:t>t</w:t>
      </w:r>
      <w:r>
        <w:rPr>
          <w:snapToGrid w:val="0"/>
        </w:rPr>
        <w:t>raum kürzer ist.</w:t>
      </w:r>
    </w:p>
    <w:p>
      <w:pPr>
        <w:pStyle w:val="Absatz"/>
      </w:pPr>
      <w:r>
        <w:t xml:space="preserve">Singapur stellt klar, dass die Verpflichtung </w:t>
      </w:r>
      <w:r>
        <w:rPr>
          <w:i/>
          <w:iCs/>
        </w:rPr>
        <w:t>«A. innerbetrieblich versetzte Beschäfti</w:t>
      </w:r>
      <w:r>
        <w:rPr>
          <w:i/>
          <w:iCs/>
        </w:rPr>
        <w:t>g</w:t>
      </w:r>
      <w:r>
        <w:rPr>
          <w:i/>
          <w:iCs/>
        </w:rPr>
        <w:t>te in Auslandsniederlassungen»</w:t>
      </w:r>
      <w:r>
        <w:t xml:space="preserve"> in den horizontalen Verpflichtungen des Appe</w:t>
      </w:r>
      <w:r>
        <w:t>n</w:t>
      </w:r>
      <w:r>
        <w:t>dix 1 zu Anhang VII bedeutet, dass innerbetrieblich versetzten Beschäftigten, we</w:t>
      </w:r>
      <w:r>
        <w:t>l</w:t>
      </w:r>
      <w:r>
        <w:t>che sämtliche Bedingungen dieser Verpflichtung erfüllen, eine Einreise- und Aufen</w:t>
      </w:r>
      <w:r>
        <w:t>t</w:t>
      </w:r>
      <w:r>
        <w:t>haltsbewilligung für eine Gesamtdauer von 5 Jahren oder für die beantragte Da</w:t>
      </w:r>
      <w:r>
        <w:t>u</w:t>
      </w:r>
      <w:r>
        <w:t xml:space="preserve">er gewährt wird, </w:t>
      </w:r>
      <w:r>
        <w:rPr>
          <w:snapToGrid w:val="0"/>
          <w:color w:val="000000"/>
        </w:rPr>
        <w:t>je nachdem, welcher Zeitraum kürzer ist</w:t>
      </w:r>
      <w:r>
        <w:t>. Dieser Aufenthalt wird auf der Basis einer anfänglichen Bewilligung von 2 Jahren gewährt, die auf Antrag um bis zu 3 Jahre verlängert werden kann.</w:t>
      </w:r>
    </w:p>
    <w:p>
      <w:pPr>
        <w:pStyle w:val="Schlussint"/>
      </w:pPr>
      <w:r>
        <w:rPr>
          <w:i/>
          <w:iCs/>
        </w:rPr>
        <w:t>Zu Urkund dessen</w:t>
      </w:r>
      <w:r>
        <w:t xml:space="preserve"> haben die hierzu gebührend bevollmächtigten Unterzeichner di</w:t>
      </w:r>
      <w:r>
        <w:t>e</w:t>
      </w:r>
      <w:r>
        <w:t>ses Verständigungsprotokoll unterschrieben.</w:t>
      </w:r>
    </w:p>
    <w:p>
      <w:pPr>
        <w:pStyle w:val="Absatz"/>
      </w:pPr>
      <w:r>
        <w:t>Geschehen zu Egilsstadir, am 26. Juni 2002, in einer Originalausfertigung in engl</w:t>
      </w:r>
      <w:r>
        <w:t>i</w:t>
      </w:r>
      <w:r>
        <w:t>scher Sprache, die bei der Regierung Norwegens deponiert wird. Der Depositar lässt allen Unterzeichnerstaaten beglaubigte Kopien zukommen.</w:t>
      </w:r>
    </w:p>
    <w:p>
      <w:pPr>
        <w:pStyle w:val="Abstand18pt"/>
      </w:pPr>
    </w:p>
    <w:p>
      <w:pPr>
        <w:pStyle w:val="Absatzkurs"/>
      </w:pPr>
      <w:r>
        <w:t>(Es folgen die Unterschriften)</w:t>
      </w: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Heading1"/>
      </w:pPr>
      <w:r>
        <w:t>Inhaltsverzeichnis</w:t>
      </w:r>
    </w:p>
    <w:p>
      <w:pPr>
        <w:pStyle w:val="TOC1"/>
      </w:pPr>
      <w:r>
        <w:t>I Allgemeine Bestimmungen</w:t>
      </w:r>
    </w:p>
    <w:p>
      <w:pPr>
        <w:pStyle w:val="Verzeichnis8Artikel"/>
      </w:pPr>
      <w:r>
        <w:t>Zielsetzung</w:t>
        <w:tab/>
        <w:t>Art. 1</w:t>
      </w:r>
    </w:p>
    <w:p>
      <w:pPr>
        <w:pStyle w:val="Verzeichnis8Artikel"/>
      </w:pPr>
      <w:r>
        <w:t>Räumlicher Anwendungsbereich</w:t>
        <w:tab/>
        <w:t>Art. 2</w:t>
      </w:r>
    </w:p>
    <w:p>
      <w:pPr>
        <w:pStyle w:val="Verzeichnis8Artikel"/>
      </w:pPr>
      <w:r>
        <w:t>Umfang der unterstellten Handels- und Wirtschafts</w:t>
      </w:r>
      <w:r>
        <w:softHyphen/>
        <w:t>bezi</w:t>
      </w:r>
      <w:r>
        <w:t>e</w:t>
      </w:r>
      <w:r>
        <w:t>hungen</w:t>
        <w:tab/>
        <w:t>Art. 3</w:t>
      </w:r>
    </w:p>
    <w:p>
      <w:pPr>
        <w:pStyle w:val="Verzeichnis8Artikel"/>
      </w:pPr>
      <w:r>
        <w:t>Verhältnis zu anderen Abkommen</w:t>
        <w:tab/>
        <w:t>Art. 4</w:t>
      </w:r>
    </w:p>
    <w:p>
      <w:pPr>
        <w:pStyle w:val="Verzeichnis8Artikel"/>
      </w:pPr>
      <w:r>
        <w:t>Regionale und lokale Regierungen</w:t>
        <w:tab/>
        <w:t>Art. 5</w:t>
      </w:r>
    </w:p>
    <w:p>
      <w:pPr>
        <w:pStyle w:val="TOC1"/>
      </w:pPr>
      <w:r>
        <w:t>II Warenverkehr</w:t>
      </w:r>
    </w:p>
    <w:p>
      <w:pPr>
        <w:pStyle w:val="Verzeichnis8Artikel"/>
      </w:pPr>
      <w:r>
        <w:t>Geltungsbereich</w:t>
        <w:tab/>
        <w:t>Art. 6</w:t>
      </w:r>
    </w:p>
    <w:p>
      <w:pPr>
        <w:pStyle w:val="Verzeichnis8Artikel"/>
      </w:pPr>
      <w:r>
        <w:t>Ursprungsregeln und Zusammenarbeit der Verwaltungen</w:t>
        <w:tab/>
        <w:t>Art. 7</w:t>
      </w:r>
    </w:p>
    <w:p>
      <w:pPr>
        <w:pStyle w:val="Verzeichnis8Artikel"/>
      </w:pPr>
      <w:r>
        <w:t>Zölle</w:t>
        <w:tab/>
        <w:t>Art. 8</w:t>
      </w:r>
    </w:p>
    <w:p>
      <w:pPr>
        <w:pStyle w:val="Verzeichnis8Artikel"/>
      </w:pPr>
      <w:r>
        <w:t>Ein- und Ausfuhrbeschränkungen</w:t>
        <w:tab/>
        <w:t>Art. 9</w:t>
      </w:r>
    </w:p>
    <w:p>
      <w:pPr>
        <w:pStyle w:val="Verzeichnis8Artikel"/>
      </w:pPr>
      <w:r>
        <w:t>Meistbegünstigung</w:t>
        <w:tab/>
        <w:t>Art. 10</w:t>
      </w:r>
    </w:p>
    <w:p>
      <w:pPr>
        <w:pStyle w:val="Verzeichnis8Artikel"/>
      </w:pPr>
      <w:r>
        <w:t>Inländerbehandlung</w:t>
        <w:tab/>
        <w:t>Art. 11</w:t>
      </w:r>
    </w:p>
    <w:p>
      <w:pPr>
        <w:pStyle w:val="Verzeichnis8Artikel"/>
      </w:pPr>
      <w:r>
        <w:t>Gesundheitspolizeiliche und pflanzenschutzrechtliche Massnahmen</w:t>
        <w:tab/>
        <w:t>Art. 12</w:t>
      </w:r>
    </w:p>
    <w:p>
      <w:pPr>
        <w:pStyle w:val="Verzeichnis8Artikel"/>
      </w:pPr>
      <w:r>
        <w:t>Technische Vorschriften</w:t>
        <w:tab/>
        <w:t>Art. 13</w:t>
      </w:r>
    </w:p>
    <w:p>
      <w:pPr>
        <w:pStyle w:val="Verzeichnis8Artikel"/>
      </w:pPr>
      <w:r>
        <w:t>Staatliche Handelsunternehmen</w:t>
        <w:tab/>
        <w:t>Art. 14</w:t>
      </w:r>
    </w:p>
    <w:p>
      <w:pPr>
        <w:pStyle w:val="Verzeichnis8Artikel"/>
      </w:pPr>
      <w:r>
        <w:t>Subventionen</w:t>
        <w:tab/>
        <w:t>Art. 15</w:t>
      </w:r>
    </w:p>
    <w:p>
      <w:pPr>
        <w:pStyle w:val="Verzeichnis8Artikel"/>
      </w:pPr>
      <w:r>
        <w:t>Antidumpingmassnahmen</w:t>
        <w:tab/>
        <w:t>Art. 16</w:t>
      </w:r>
    </w:p>
    <w:p>
      <w:pPr>
        <w:pStyle w:val="Verzeichnis8Artikel"/>
      </w:pPr>
      <w:r>
        <w:t>Schutzmassnahmen bei der Einfuhr bestimmter Waren</w:t>
        <w:tab/>
        <w:t>Art. 17</w:t>
      </w:r>
    </w:p>
    <w:p>
      <w:pPr>
        <w:pStyle w:val="Verzeichnis8Artikel"/>
      </w:pPr>
      <w:r>
        <w:t>Zahlungsbilanzschwierigkeiten</w:t>
        <w:tab/>
        <w:t>Art. 18</w:t>
      </w:r>
    </w:p>
    <w:p>
      <w:pPr>
        <w:pStyle w:val="Verzeichnis8Artikel"/>
      </w:pPr>
      <w:r>
        <w:t>Allgemeine Ausnahmen</w:t>
        <w:tab/>
        <w:t>Art. 19</w:t>
      </w:r>
    </w:p>
    <w:p>
      <w:pPr>
        <w:pStyle w:val="Verzeichnis8Artikel"/>
      </w:pPr>
      <w:r>
        <w:t>Ausnahmen aus Gründen der Sicherheit</w:t>
        <w:tab/>
        <w:t>Art. 20</w:t>
      </w:r>
    </w:p>
    <w:p>
      <w:pPr>
        <w:pStyle w:val="TOC1"/>
      </w:pPr>
      <w:r>
        <w:t>III Dienstleistungen</w:t>
      </w:r>
    </w:p>
    <w:p>
      <w:pPr>
        <w:pStyle w:val="Verzeichnis8Artikel"/>
      </w:pPr>
      <w:r>
        <w:t>Geltungsbereich</w:t>
        <w:tab/>
        <w:t>Art. 21</w:t>
      </w:r>
    </w:p>
    <w:p>
      <w:pPr>
        <w:pStyle w:val="Verzeichnis8Artikel"/>
      </w:pPr>
      <w:r>
        <w:t>Begriffsbestimmungen</w:t>
        <w:tab/>
        <w:t>Art. 22</w:t>
      </w:r>
    </w:p>
    <w:p>
      <w:pPr>
        <w:pStyle w:val="Verzeichnis8Artikel"/>
      </w:pPr>
      <w:r>
        <w:t>Meistbegünstigung</w:t>
        <w:tab/>
        <w:t>Art. 23</w:t>
      </w:r>
    </w:p>
    <w:p>
      <w:pPr>
        <w:pStyle w:val="Verzeichnis8Artikel"/>
      </w:pPr>
      <w:r>
        <w:t>Marktzugang</w:t>
        <w:tab/>
        <w:t>Art. 24</w:t>
      </w:r>
    </w:p>
    <w:p>
      <w:pPr>
        <w:pStyle w:val="Verzeichnis8Artikel"/>
      </w:pPr>
      <w:r>
        <w:t>Inländerbehandlung</w:t>
        <w:tab/>
        <w:t>Art. 25</w:t>
      </w:r>
    </w:p>
    <w:p>
      <w:pPr>
        <w:pStyle w:val="Verzeichnis8Artikel"/>
      </w:pPr>
      <w:r>
        <w:t>Zusätzliche Verpflichtungen</w:t>
        <w:tab/>
        <w:t>Art. 26</w:t>
      </w:r>
    </w:p>
    <w:p>
      <w:pPr>
        <w:pStyle w:val="Verzeichnis8Artikel"/>
      </w:pPr>
      <w:r>
        <w:t xml:space="preserve">Handelsliberalisierung/Listen der besonderen </w:t>
        <w:br/>
        <w:t>Verpflic</w:t>
      </w:r>
      <w:r>
        <w:t>h</w:t>
      </w:r>
      <w:r>
        <w:t>tungen</w:t>
        <w:tab/>
        <w:t>Art. 27</w:t>
      </w:r>
    </w:p>
    <w:p>
      <w:pPr>
        <w:pStyle w:val="Verzeichnis8Artikel"/>
      </w:pPr>
      <w:r>
        <w:t>Innerstaatliche Regelungen</w:t>
        <w:tab/>
        <w:t>Art. 28</w:t>
      </w:r>
    </w:p>
    <w:p>
      <w:pPr>
        <w:pStyle w:val="Verzeichnis8Artikel"/>
      </w:pPr>
      <w:r>
        <w:t>Subventionen</w:t>
        <w:tab/>
        <w:t>Art. 29</w:t>
      </w:r>
    </w:p>
    <w:p>
      <w:pPr>
        <w:pStyle w:val="Verzeichnis8Artikel"/>
      </w:pPr>
      <w:r>
        <w:t>Gegenseitige Anerkennung</w:t>
        <w:tab/>
        <w:t>Art. 30</w:t>
      </w:r>
    </w:p>
    <w:p>
      <w:pPr>
        <w:pStyle w:val="Verzeichnis8Artikel"/>
      </w:pPr>
      <w:r>
        <w:t xml:space="preserve">Monopole und Dienstleistungserbringer mit </w:t>
        <w:br/>
        <w:t>ausschliesslichen Rec</w:t>
      </w:r>
      <w:r>
        <w:t>h</w:t>
      </w:r>
      <w:r>
        <w:t>ten</w:t>
        <w:tab/>
        <w:t>Art. 31</w:t>
      </w:r>
    </w:p>
    <w:p>
      <w:pPr>
        <w:pStyle w:val="Verzeichnis8Artikel"/>
      </w:pPr>
      <w:r>
        <w:t>Grenzüberschreitung natürlicher Personen</w:t>
        <w:tab/>
        <w:t>Art. 32</w:t>
      </w:r>
    </w:p>
    <w:p>
      <w:pPr>
        <w:pStyle w:val="Verzeichnis8Artikel"/>
      </w:pPr>
      <w:r>
        <w:t>Allgemeine Ausnahmen</w:t>
        <w:tab/>
        <w:t>Art. 33</w:t>
      </w:r>
    </w:p>
    <w:p>
      <w:pPr>
        <w:pStyle w:val="Verzeichnis8Artikel"/>
      </w:pPr>
      <w:r>
        <w:t>Ausnahmen aus Gründen der Sicherheit</w:t>
        <w:tab/>
        <w:t>Art. 34</w:t>
      </w:r>
    </w:p>
    <w:p>
      <w:pPr>
        <w:pStyle w:val="Verzeichnis8Artikel"/>
      </w:pPr>
      <w:r>
        <w:t>Beschränkungen aus Zahlungsbilanzgründen</w:t>
        <w:tab/>
        <w:t>Art. 35</w:t>
      </w:r>
    </w:p>
    <w:p>
      <w:pPr>
        <w:pStyle w:val="Verzeichnis8Artikel"/>
      </w:pPr>
      <w:r>
        <w:t>Anhänge</w:t>
        <w:tab/>
        <w:t>Art. 36</w:t>
      </w:r>
    </w:p>
    <w:p>
      <w:pPr>
        <w:pStyle w:val="TOC1"/>
      </w:pPr>
      <w:r>
        <w:t>IV Investitionen</w:t>
      </w:r>
    </w:p>
    <w:p>
      <w:pPr>
        <w:pStyle w:val="Verzeichnis8Artikel"/>
      </w:pPr>
      <w:r>
        <w:t>Begriffsbestimmungen</w:t>
        <w:tab/>
        <w:t>Art. 37</w:t>
      </w:r>
    </w:p>
    <w:p>
      <w:pPr>
        <w:pStyle w:val="Verzeichnis8Artikel"/>
      </w:pPr>
      <w:r>
        <w:t>Geltungsbereich</w:t>
        <w:tab/>
        <w:t>Art. 38</w:t>
      </w:r>
    </w:p>
    <w:p>
      <w:pPr>
        <w:pStyle w:val="Verzeichnis8Artikel"/>
      </w:pPr>
      <w:r>
        <w:t>Förderung und Schutz von Investitionen</w:t>
        <w:tab/>
        <w:t>Art. 39</w:t>
      </w:r>
    </w:p>
    <w:p>
      <w:pPr>
        <w:pStyle w:val="Verzeichnis8Artikel"/>
      </w:pPr>
      <w:r>
        <w:t>Inländerbehandlung und Meistbegünstigung</w:t>
        <w:tab/>
        <w:t>Art. 40</w:t>
      </w:r>
    </w:p>
    <w:p>
      <w:pPr>
        <w:pStyle w:val="Verzeichnis8Artikel"/>
      </w:pPr>
      <w:r>
        <w:t>Besteuerung</w:t>
        <w:tab/>
        <w:t>Art. 41</w:t>
      </w:r>
    </w:p>
    <w:p>
      <w:pPr>
        <w:pStyle w:val="Verzeichnis8Artikel"/>
      </w:pPr>
      <w:r>
        <w:t>Enteignung, Entschädigung</w:t>
        <w:tab/>
        <w:t>Art. 42</w:t>
      </w:r>
    </w:p>
    <w:p>
      <w:pPr>
        <w:pStyle w:val="Verzeichnis8Artikel"/>
      </w:pPr>
      <w:r>
        <w:t>Innerstaatliche Regelung</w:t>
        <w:tab/>
        <w:t>Art. 43</w:t>
      </w:r>
    </w:p>
    <w:p>
      <w:pPr>
        <w:pStyle w:val="Verzeichnis8Artikel"/>
      </w:pPr>
      <w:r>
        <w:t>Transfers</w:t>
        <w:tab/>
        <w:t>Art. 44</w:t>
      </w:r>
    </w:p>
    <w:p>
      <w:pPr>
        <w:pStyle w:val="Verzeichnis8Artikel"/>
      </w:pPr>
      <w:r>
        <w:t>Personal in Schlüsselpositionen</w:t>
        <w:tab/>
        <w:t>Art. 45</w:t>
      </w:r>
    </w:p>
    <w:p>
      <w:pPr>
        <w:pStyle w:val="Verzeichnis8Artikel"/>
      </w:pPr>
      <w:r>
        <w:t>Vorbehalte</w:t>
        <w:tab/>
        <w:t>Art. 46</w:t>
      </w:r>
    </w:p>
    <w:p>
      <w:pPr>
        <w:pStyle w:val="Verzeichnis8Artikel"/>
      </w:pPr>
      <w:r>
        <w:t>Subrogation</w:t>
        <w:tab/>
        <w:t>Art. 47</w:t>
      </w:r>
    </w:p>
    <w:p>
      <w:pPr>
        <w:pStyle w:val="Verzeichnis8Artikel"/>
      </w:pPr>
      <w:r>
        <w:t xml:space="preserve">Streitigkeiten zwischen einem Investor und einer </w:t>
        <w:br/>
        <w:t>Ve</w:t>
      </w:r>
      <w:r>
        <w:t>r</w:t>
      </w:r>
      <w:r>
        <w:t>tragspartei</w:t>
        <w:tab/>
        <w:t>Art. 48</w:t>
      </w:r>
    </w:p>
    <w:p>
      <w:pPr>
        <w:pStyle w:val="Verzeichnis8Artikel"/>
      </w:pPr>
      <w:r>
        <w:t>Ausnahmen</w:t>
        <w:tab/>
        <w:t>Art. 49</w:t>
      </w:r>
    </w:p>
    <w:p>
      <w:pPr>
        <w:pStyle w:val="TOC1"/>
      </w:pPr>
      <w:r>
        <w:t>V Wettbewerb</w:t>
      </w:r>
    </w:p>
    <w:p>
      <w:pPr>
        <w:pStyle w:val="Verzeichnis8Artikel"/>
      </w:pPr>
      <w:r>
        <w:t>Wettbewerb</w:t>
        <w:tab/>
        <w:t>Art. 50</w:t>
      </w:r>
    </w:p>
    <w:p>
      <w:pPr>
        <w:pStyle w:val="TOC1"/>
      </w:pPr>
      <w:r>
        <w:t>VI Öffentliches Beschaffungswesen</w:t>
      </w:r>
    </w:p>
    <w:p>
      <w:pPr>
        <w:pStyle w:val="Verzeichnis8Artikel"/>
      </w:pPr>
      <w:r>
        <w:t>Geltungsbereich</w:t>
        <w:tab/>
        <w:t>Art. 51</w:t>
      </w:r>
    </w:p>
    <w:p>
      <w:pPr>
        <w:pStyle w:val="Verzeichnis8Artikel"/>
      </w:pPr>
      <w:r>
        <w:t>Informationsaustausch</w:t>
        <w:tab/>
        <w:t>Art. 52</w:t>
      </w:r>
    </w:p>
    <w:p>
      <w:pPr>
        <w:pStyle w:val="Verzeichnis8Artikel"/>
      </w:pPr>
      <w:r>
        <w:t>Weitere Verhandlungen</w:t>
        <w:tab/>
        <w:t>Art. 53</w:t>
      </w:r>
    </w:p>
    <w:p>
      <w:pPr>
        <w:pStyle w:val="TOC1"/>
      </w:pPr>
      <w:r>
        <w:t>VII Schutz des Geistigen Eigentums</w:t>
      </w:r>
    </w:p>
    <w:p>
      <w:pPr>
        <w:pStyle w:val="Verzeichnis8Artikel"/>
      </w:pPr>
      <w:r>
        <w:t>Schutz des Geistigen Eigentums</w:t>
        <w:tab/>
        <w:t>Art. 54</w:t>
      </w:r>
    </w:p>
    <w:p>
      <w:pPr>
        <w:pStyle w:val="TOC1"/>
      </w:pPr>
      <w:r>
        <w:t>VIII Institutionelle Bestimmungen</w:t>
      </w:r>
    </w:p>
    <w:p>
      <w:pPr>
        <w:pStyle w:val="Verzeichnis8Artikel"/>
      </w:pPr>
      <w:r>
        <w:t>Der Gemischte Ausschuss</w:t>
        <w:tab/>
        <w:t>Art. 55</w:t>
      </w:r>
    </w:p>
    <w:p>
      <w:pPr>
        <w:pStyle w:val="Abstand18pt"/>
      </w:pPr>
    </w:p>
    <w:p>
      <w:pPr>
        <w:pStyle w:val="Abstand18pt"/>
      </w:pPr>
    </w:p>
    <w:p>
      <w:pPr>
        <w:pStyle w:val="TOC1"/>
      </w:pPr>
      <w:r>
        <w:t>IX Streitbeilegung</w:t>
      </w:r>
    </w:p>
    <w:p>
      <w:pPr>
        <w:pStyle w:val="Verzeichnis8Artikel"/>
      </w:pPr>
      <w:r>
        <w:rPr>
          <w:snapToGrid w:val="0"/>
        </w:rPr>
        <w:t>Geltungsbereich</w:t>
      </w:r>
      <w:r>
        <w:tab/>
        <w:t>Art. 56</w:t>
      </w:r>
    </w:p>
    <w:p>
      <w:pPr>
        <w:pStyle w:val="Verzeichnis8Artikel"/>
      </w:pPr>
      <w:r>
        <w:t>Gute Dienste, Vergleich und Vermittlung</w:t>
        <w:tab/>
        <w:t>Art. 57</w:t>
      </w:r>
    </w:p>
    <w:p>
      <w:pPr>
        <w:pStyle w:val="Verzeichnis8Artikel"/>
      </w:pPr>
      <w:r>
        <w:t>K</w:t>
      </w:r>
      <w:r>
        <w:rPr>
          <w:snapToGrid w:val="0"/>
        </w:rPr>
        <w:t>onsultationen</w:t>
      </w:r>
      <w:r>
        <w:tab/>
        <w:t>Art. 58</w:t>
      </w:r>
    </w:p>
    <w:p>
      <w:pPr>
        <w:pStyle w:val="Verzeichnis8Artikel"/>
      </w:pPr>
      <w:r>
        <w:t>Einsetzung eines Schiedsgerichts</w:t>
        <w:tab/>
        <w:t>Art. 59</w:t>
      </w:r>
    </w:p>
    <w:p>
      <w:pPr>
        <w:pStyle w:val="Verzeichnis8Artikel"/>
      </w:pPr>
      <w:r>
        <w:t>Schiedsgericht</w:t>
        <w:tab/>
        <w:t>Art. 60</w:t>
      </w:r>
    </w:p>
    <w:p>
      <w:pPr>
        <w:pStyle w:val="Verzeichnis8Artikel"/>
      </w:pPr>
      <w:r>
        <w:t>Schiedsverfahren</w:t>
        <w:tab/>
        <w:t>Art. 61</w:t>
      </w:r>
    </w:p>
    <w:p>
      <w:pPr>
        <w:pStyle w:val="Verzeichnis8Artikel"/>
      </w:pPr>
      <w:r>
        <w:t>Zwischenbericht</w:t>
        <w:tab/>
        <w:t>Art. 62</w:t>
      </w:r>
    </w:p>
    <w:p>
      <w:pPr>
        <w:pStyle w:val="Verzeichnis8Artikel"/>
      </w:pPr>
      <w:r>
        <w:t>Schlussbericht</w:t>
        <w:tab/>
        <w:t>Art. 63</w:t>
      </w:r>
    </w:p>
    <w:p>
      <w:pPr>
        <w:pStyle w:val="Verzeichnis8Artikel"/>
      </w:pPr>
      <w:r>
        <w:t>Beendigung von Schiedsverfahren</w:t>
        <w:tab/>
        <w:t>Art. 64</w:t>
      </w:r>
    </w:p>
    <w:p>
      <w:pPr>
        <w:pStyle w:val="Verzeichnis8Artikel"/>
      </w:pPr>
      <w:r>
        <w:t>Vollzug des Berichts des Schiedsgerichts</w:t>
        <w:tab/>
        <w:t>Art. 65</w:t>
      </w:r>
    </w:p>
    <w:p>
      <w:pPr>
        <w:pStyle w:val="Verzeichnis8Artikel"/>
      </w:pPr>
      <w:r>
        <w:t>Weitere Bestimmungen</w:t>
        <w:tab/>
        <w:t>Art. 66</w:t>
      </w:r>
    </w:p>
    <w:p>
      <w:pPr>
        <w:pStyle w:val="TOC1"/>
      </w:pPr>
      <w:r>
        <w:t>X Schlussbestimmungen</w:t>
      </w:r>
    </w:p>
    <w:p>
      <w:pPr>
        <w:pStyle w:val="Verzeichnis8Artikel"/>
      </w:pPr>
      <w:r>
        <w:t>Transparenz</w:t>
        <w:tab/>
        <w:t>Art. 67</w:t>
      </w:r>
    </w:p>
    <w:p>
      <w:pPr>
        <w:pStyle w:val="Verzeichnis8Artikel"/>
      </w:pPr>
      <w:r>
        <w:t>Anhänge und Appendizes</w:t>
        <w:tab/>
        <w:t>Art. 68</w:t>
      </w:r>
    </w:p>
    <w:p>
      <w:pPr>
        <w:pStyle w:val="Verzeichnis8Artikel"/>
      </w:pPr>
      <w:r>
        <w:t>Änderungen</w:t>
        <w:tab/>
        <w:t>Art. 69</w:t>
      </w:r>
    </w:p>
    <w:p>
      <w:pPr>
        <w:pStyle w:val="Verzeichnis8Artikel"/>
      </w:pPr>
      <w:r>
        <w:t>Beitritt</w:t>
        <w:tab/>
        <w:t>Art. 70</w:t>
      </w:r>
    </w:p>
    <w:p>
      <w:pPr>
        <w:pStyle w:val="Verzeichnis8Artikel"/>
      </w:pPr>
      <w:r>
        <w:t>Rücktritt und Beendigung</w:t>
        <w:tab/>
        <w:t>Art. 71</w:t>
      </w:r>
    </w:p>
    <w:p>
      <w:pPr>
        <w:pStyle w:val="Verzeichnis8Artikel"/>
      </w:pPr>
      <w:r>
        <w:t>Inkrafttreten</w:t>
        <w:tab/>
        <w:t>Art. 72</w:t>
      </w:r>
    </w:p>
    <w:p>
      <w:pPr>
        <w:pStyle w:val="Verzeichnis8Artikel"/>
      </w:pPr>
      <w:r>
        <w:t>Depositar</w:t>
        <w:tab/>
        <w:t>Art. 73</w:t>
      </w:r>
    </w:p>
    <w:p>
      <w:pPr>
        <w:pStyle w:val="Verzeichnis8Artikel"/>
      </w:pPr>
    </w:p>
    <w:p>
      <w:pPr>
        <w:pStyle w:val="TOC2"/>
      </w:pPr>
      <w:r>
        <w:t>Verständigungsprotokoll</w:t>
      </w: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Heading1"/>
      </w:pPr>
      <w:r>
        <w:t>Liste der Anhänge</w:t>
      </w:r>
      <w:r>
        <w:rPr>
          <w:rStyle w:val="FootnoteReference"/>
          <w:b/>
          <w:noProof w:val="0"/>
          <w:lang w:val="de-CH" w:eastAsia="de-DE"/>
        </w:rPr>
        <w:footnoteReference w:id="35"/>
      </w:r>
    </w:p>
    <w:p>
      <w:pPr>
        <w:pStyle w:val="Abstand4pt"/>
      </w:pPr>
    </w:p>
    <w:p>
      <w:pPr>
        <w:pStyle w:val="Abstand4pt"/>
      </w:pPr>
    </w:p>
    <w:p>
      <w:pPr>
        <w:pStyle w:val="Abstand4pt"/>
      </w:pPr>
    </w:p>
    <w:tbl>
      <w:tblPr>
        <w:tblStyle w:val="TableNormal"/>
        <w:tblW w:w="0" w:type="auto"/>
        <w:tblLayout w:type="fixed"/>
        <w:tblCellMar>
          <w:left w:w="0" w:type="dxa"/>
          <w:right w:w="0" w:type="dxa"/>
        </w:tblCellMar>
        <w:tblLook w:val="0000"/>
      </w:tblPr>
      <w:tblGrid>
        <w:gridCol w:w="851"/>
        <w:gridCol w:w="5273"/>
      </w:tblGrid>
      <w:tr>
        <w:tblPrEx>
          <w:tblW w:w="0" w:type="auto"/>
          <w:tblLayout w:type="fixed"/>
          <w:tblCellMar>
            <w:left w:w="0" w:type="dxa"/>
            <w:right w:w="0" w:type="dxa"/>
          </w:tblCellMar>
          <w:tblLook w:val="0000"/>
        </w:tblPrEx>
        <w:tc>
          <w:tcPr>
            <w:tcW w:w="851" w:type="dxa"/>
          </w:tcPr>
          <w:p>
            <w:pPr>
              <w:pStyle w:val="Tabkrper38pt"/>
              <w:rPr>
                <w:b/>
                <w:i/>
              </w:rPr>
            </w:pPr>
          </w:p>
        </w:tc>
        <w:tc>
          <w:tcPr>
            <w:tcW w:w="5273" w:type="dxa"/>
          </w:tcPr>
          <w:p>
            <w:pPr>
              <w:pStyle w:val="Tabkrper38pt"/>
              <w:rPr>
                <w:b/>
                <w:i/>
              </w:rPr>
            </w:pPr>
            <w:r>
              <w:rPr>
                <w:b/>
                <w:i/>
              </w:rPr>
              <w:t>Record of Understanding – Verständigungsprotokoll</w:t>
            </w:r>
          </w:p>
        </w:tc>
      </w:tr>
      <w:tr>
        <w:tblPrEx>
          <w:tblW w:w="0" w:type="auto"/>
          <w:tblLayout w:type="fixed"/>
          <w:tblCellMar>
            <w:left w:w="0" w:type="dxa"/>
            <w:right w:w="0" w:type="dxa"/>
          </w:tblCellMar>
          <w:tblLook w:val="0000"/>
        </w:tblPrEx>
        <w:tc>
          <w:tcPr>
            <w:tcW w:w="851" w:type="dxa"/>
          </w:tcPr>
          <w:p>
            <w:pPr>
              <w:pStyle w:val="Tabkrper38pt-kurs"/>
              <w:rPr>
                <w:b/>
              </w:rPr>
            </w:pPr>
          </w:p>
        </w:tc>
        <w:tc>
          <w:tcPr>
            <w:tcW w:w="5273" w:type="dxa"/>
          </w:tcPr>
          <w:p>
            <w:pPr>
              <w:pStyle w:val="Tabkrper38pt"/>
            </w:pPr>
          </w:p>
        </w:tc>
      </w:tr>
      <w:tr>
        <w:tblPrEx>
          <w:tblW w:w="0" w:type="auto"/>
          <w:tblLayout w:type="fixed"/>
          <w:tblCellMar>
            <w:left w:w="0" w:type="dxa"/>
            <w:right w:w="0" w:type="dxa"/>
          </w:tblCellMar>
          <w:tblLook w:val="0000"/>
        </w:tblPrEx>
        <w:tc>
          <w:tcPr>
            <w:tcW w:w="851" w:type="dxa"/>
          </w:tcPr>
          <w:p>
            <w:pPr>
              <w:pStyle w:val="Tabkrper38pt-kurs"/>
              <w:rPr>
                <w:b/>
              </w:rPr>
            </w:pPr>
            <w:r>
              <w:rPr>
                <w:b/>
              </w:rPr>
              <w:t>Annex I</w:t>
            </w:r>
          </w:p>
        </w:tc>
        <w:tc>
          <w:tcPr>
            <w:tcW w:w="5273" w:type="dxa"/>
          </w:tcPr>
          <w:p>
            <w:pPr>
              <w:pStyle w:val="Tabkrper38pt"/>
            </w:pPr>
            <w:r>
              <w:t>Definition of the concept of originating products and methods of administrative co-operation</w:t>
            </w:r>
          </w:p>
        </w:tc>
      </w:tr>
      <w:tr>
        <w:tblPrEx>
          <w:tblW w:w="0" w:type="auto"/>
          <w:tblLayout w:type="fixed"/>
          <w:tblCellMar>
            <w:left w:w="0" w:type="dxa"/>
            <w:right w:w="0" w:type="dxa"/>
          </w:tblCellMar>
          <w:tblLook w:val="0000"/>
        </w:tblPrEx>
        <w:tc>
          <w:tcPr>
            <w:tcW w:w="851" w:type="dxa"/>
          </w:tcPr>
          <w:p>
            <w:pPr>
              <w:pStyle w:val="Tabkrper08pt"/>
            </w:pPr>
          </w:p>
        </w:tc>
        <w:tc>
          <w:tcPr>
            <w:tcW w:w="5273" w:type="dxa"/>
          </w:tcPr>
          <w:p>
            <w:pPr>
              <w:pStyle w:val="Tabkrper08pt"/>
            </w:pPr>
            <w:r>
              <w:t>Appendix 1 to Annex I – Introductory notes to the list in Appendix 2</w:t>
            </w:r>
          </w:p>
        </w:tc>
      </w:tr>
      <w:tr>
        <w:tblPrEx>
          <w:tblW w:w="0" w:type="auto"/>
          <w:tblLayout w:type="fixed"/>
          <w:tblCellMar>
            <w:left w:w="0" w:type="dxa"/>
            <w:right w:w="0" w:type="dxa"/>
          </w:tblCellMar>
          <w:tblLook w:val="0000"/>
        </w:tblPrEx>
        <w:tc>
          <w:tcPr>
            <w:tcW w:w="851" w:type="dxa"/>
          </w:tcPr>
          <w:p>
            <w:pPr>
              <w:pStyle w:val="Tabkrper08pt"/>
            </w:pPr>
          </w:p>
        </w:tc>
        <w:tc>
          <w:tcPr>
            <w:tcW w:w="5273" w:type="dxa"/>
          </w:tcPr>
          <w:p>
            <w:pPr>
              <w:pStyle w:val="Tabkrper08pt"/>
            </w:pPr>
            <w:r>
              <w:t>Appendix 2 to Annex I – List of working or proces</w:t>
            </w:r>
            <w:r>
              <w:t>s</w:t>
            </w:r>
            <w:r>
              <w:t>ing required to be carried out on non-originating materials in order that the product manufactured can obtain orig</w:t>
            </w:r>
            <w:r>
              <w:t>i</w:t>
            </w:r>
            <w:r>
              <w:t>nating status</w:t>
            </w:r>
          </w:p>
        </w:tc>
      </w:tr>
      <w:tr>
        <w:tblPrEx>
          <w:tblW w:w="0" w:type="auto"/>
          <w:tblLayout w:type="fixed"/>
          <w:tblCellMar>
            <w:left w:w="0" w:type="dxa"/>
            <w:right w:w="0" w:type="dxa"/>
          </w:tblCellMar>
          <w:tblLook w:val="0000"/>
        </w:tblPrEx>
        <w:tc>
          <w:tcPr>
            <w:tcW w:w="851" w:type="dxa"/>
          </w:tcPr>
          <w:p>
            <w:pPr>
              <w:pStyle w:val="Tabkrper08pt"/>
            </w:pPr>
          </w:p>
        </w:tc>
        <w:tc>
          <w:tcPr>
            <w:tcW w:w="5273" w:type="dxa"/>
          </w:tcPr>
          <w:p>
            <w:pPr>
              <w:pStyle w:val="Tabkrper08pt"/>
            </w:pPr>
            <w:r>
              <w:t>Appendix 3 to Annex I – Outward processing</w:t>
            </w:r>
          </w:p>
        </w:tc>
      </w:tr>
      <w:tr>
        <w:tblPrEx>
          <w:tblW w:w="0" w:type="auto"/>
          <w:tblLayout w:type="fixed"/>
          <w:tblCellMar>
            <w:left w:w="0" w:type="dxa"/>
            <w:right w:w="0" w:type="dxa"/>
          </w:tblCellMar>
          <w:tblLook w:val="0000"/>
        </w:tblPrEx>
        <w:tc>
          <w:tcPr>
            <w:tcW w:w="851" w:type="dxa"/>
          </w:tcPr>
          <w:p>
            <w:pPr>
              <w:pStyle w:val="Tabkrper38pt-kurs"/>
              <w:rPr>
                <w:b/>
              </w:rPr>
            </w:pPr>
            <w:r>
              <w:rPr>
                <w:b/>
              </w:rPr>
              <w:t>Annex II</w:t>
            </w:r>
          </w:p>
        </w:tc>
        <w:tc>
          <w:tcPr>
            <w:tcW w:w="5273" w:type="dxa"/>
          </w:tcPr>
          <w:p>
            <w:pPr>
              <w:pStyle w:val="Tabkrper38pt"/>
            </w:pPr>
            <w:r>
              <w:t>Territorial application</w:t>
            </w:r>
          </w:p>
        </w:tc>
      </w:tr>
      <w:tr>
        <w:tblPrEx>
          <w:tblW w:w="0" w:type="auto"/>
          <w:tblLayout w:type="fixed"/>
          <w:tblCellMar>
            <w:left w:w="0" w:type="dxa"/>
            <w:right w:w="0" w:type="dxa"/>
          </w:tblCellMar>
          <w:tblLook w:val="0000"/>
        </w:tblPrEx>
        <w:tc>
          <w:tcPr>
            <w:tcW w:w="851" w:type="dxa"/>
          </w:tcPr>
          <w:p>
            <w:pPr>
              <w:pStyle w:val="Tabkrper38pt-kurs"/>
              <w:rPr>
                <w:b/>
              </w:rPr>
            </w:pPr>
            <w:r>
              <w:rPr>
                <w:b/>
              </w:rPr>
              <w:t>Annex III</w:t>
            </w:r>
          </w:p>
        </w:tc>
        <w:tc>
          <w:tcPr>
            <w:tcW w:w="5273" w:type="dxa"/>
          </w:tcPr>
          <w:p>
            <w:pPr>
              <w:pStyle w:val="Tabkrper38pt"/>
            </w:pPr>
            <w:r>
              <w:t>Processed agricultural products</w:t>
            </w:r>
          </w:p>
        </w:tc>
      </w:tr>
      <w:tr>
        <w:tblPrEx>
          <w:tblW w:w="0" w:type="auto"/>
          <w:tblLayout w:type="fixed"/>
          <w:tblCellMar>
            <w:left w:w="0" w:type="dxa"/>
            <w:right w:w="0" w:type="dxa"/>
          </w:tblCellMar>
          <w:tblLook w:val="0000"/>
        </w:tblPrEx>
        <w:tc>
          <w:tcPr>
            <w:tcW w:w="851" w:type="dxa"/>
          </w:tcPr>
          <w:p>
            <w:pPr>
              <w:pStyle w:val="Tabkrper08pt"/>
            </w:pPr>
          </w:p>
        </w:tc>
        <w:tc>
          <w:tcPr>
            <w:tcW w:w="5273" w:type="dxa"/>
          </w:tcPr>
          <w:p>
            <w:pPr>
              <w:pStyle w:val="Tabkrper08pt"/>
            </w:pPr>
            <w:r>
              <w:t>Table to Annex III</w:t>
            </w:r>
          </w:p>
        </w:tc>
      </w:tr>
      <w:tr>
        <w:tblPrEx>
          <w:tblW w:w="0" w:type="auto"/>
          <w:tblLayout w:type="fixed"/>
          <w:tblCellMar>
            <w:left w:w="0" w:type="dxa"/>
            <w:right w:w="0" w:type="dxa"/>
          </w:tblCellMar>
          <w:tblLook w:val="0000"/>
        </w:tblPrEx>
        <w:tc>
          <w:tcPr>
            <w:tcW w:w="851" w:type="dxa"/>
          </w:tcPr>
          <w:p>
            <w:pPr>
              <w:pStyle w:val="Tabkrper38pt-kurs"/>
              <w:rPr>
                <w:b/>
              </w:rPr>
            </w:pPr>
            <w:r>
              <w:rPr>
                <w:b/>
              </w:rPr>
              <w:t>Annex IV</w:t>
            </w:r>
          </w:p>
        </w:tc>
        <w:tc>
          <w:tcPr>
            <w:tcW w:w="5273" w:type="dxa"/>
          </w:tcPr>
          <w:p>
            <w:pPr>
              <w:pStyle w:val="Tabkrper38pt"/>
            </w:pPr>
            <w:r>
              <w:t>Fish and other marine products</w:t>
            </w:r>
          </w:p>
        </w:tc>
      </w:tr>
      <w:tr>
        <w:tblPrEx>
          <w:tblW w:w="0" w:type="auto"/>
          <w:tblLayout w:type="fixed"/>
          <w:tblCellMar>
            <w:left w:w="0" w:type="dxa"/>
            <w:right w:w="0" w:type="dxa"/>
          </w:tblCellMar>
          <w:tblLook w:val="0000"/>
        </w:tblPrEx>
        <w:tc>
          <w:tcPr>
            <w:tcW w:w="851" w:type="dxa"/>
          </w:tcPr>
          <w:p>
            <w:pPr>
              <w:pStyle w:val="Tabkrper38pt-kurs"/>
              <w:rPr>
                <w:b/>
              </w:rPr>
            </w:pPr>
            <w:r>
              <w:rPr>
                <w:b/>
              </w:rPr>
              <w:t>Annex V</w:t>
            </w:r>
          </w:p>
        </w:tc>
        <w:tc>
          <w:tcPr>
            <w:tcW w:w="5273" w:type="dxa"/>
          </w:tcPr>
          <w:p>
            <w:pPr>
              <w:pStyle w:val="Tabkrper38pt"/>
            </w:pPr>
            <w:r>
              <w:t>Products not covered by Article 8</w:t>
            </w:r>
          </w:p>
        </w:tc>
      </w:tr>
      <w:tr>
        <w:tblPrEx>
          <w:tblW w:w="0" w:type="auto"/>
          <w:tblLayout w:type="fixed"/>
          <w:tblCellMar>
            <w:left w:w="0" w:type="dxa"/>
            <w:right w:w="0" w:type="dxa"/>
          </w:tblCellMar>
          <w:tblLook w:val="0000"/>
        </w:tblPrEx>
        <w:tc>
          <w:tcPr>
            <w:tcW w:w="851" w:type="dxa"/>
          </w:tcPr>
          <w:p>
            <w:pPr>
              <w:pStyle w:val="Tabkrper38pt-kurs"/>
              <w:rPr>
                <w:b/>
              </w:rPr>
            </w:pPr>
            <w:r>
              <w:rPr>
                <w:b/>
              </w:rPr>
              <w:t>Annex VI</w:t>
            </w:r>
          </w:p>
        </w:tc>
        <w:tc>
          <w:tcPr>
            <w:tcW w:w="5273" w:type="dxa"/>
          </w:tcPr>
          <w:p>
            <w:pPr>
              <w:pStyle w:val="Tabkrper38pt"/>
            </w:pPr>
            <w:r>
              <w:t>Most-favoure-nation treatment</w:t>
            </w:r>
          </w:p>
        </w:tc>
      </w:tr>
      <w:tr>
        <w:tblPrEx>
          <w:tblW w:w="0" w:type="auto"/>
          <w:tblLayout w:type="fixed"/>
          <w:tblCellMar>
            <w:left w:w="0" w:type="dxa"/>
            <w:right w:w="0" w:type="dxa"/>
          </w:tblCellMar>
          <w:tblLook w:val="0000"/>
        </w:tblPrEx>
        <w:tc>
          <w:tcPr>
            <w:tcW w:w="851" w:type="dxa"/>
          </w:tcPr>
          <w:p>
            <w:pPr>
              <w:pStyle w:val="Tabkrper38pt-kurs"/>
              <w:rPr>
                <w:b/>
              </w:rPr>
            </w:pPr>
            <w:r>
              <w:rPr>
                <w:b/>
              </w:rPr>
              <w:t>Annex VII</w:t>
            </w:r>
          </w:p>
        </w:tc>
        <w:tc>
          <w:tcPr>
            <w:tcW w:w="5273" w:type="dxa"/>
          </w:tcPr>
          <w:p>
            <w:pPr>
              <w:pStyle w:val="Tabkrper38pt"/>
            </w:pPr>
            <w:r>
              <w:t>Services commitments</w:t>
            </w:r>
          </w:p>
        </w:tc>
      </w:tr>
      <w:tr>
        <w:tblPrEx>
          <w:tblW w:w="0" w:type="auto"/>
          <w:tblLayout w:type="fixed"/>
          <w:tblCellMar>
            <w:left w:w="0" w:type="dxa"/>
            <w:right w:w="0" w:type="dxa"/>
          </w:tblCellMar>
          <w:tblLook w:val="0000"/>
        </w:tblPrEx>
        <w:tc>
          <w:tcPr>
            <w:tcW w:w="851" w:type="dxa"/>
          </w:tcPr>
          <w:p>
            <w:pPr>
              <w:pStyle w:val="Tabkrper08pt"/>
            </w:pPr>
          </w:p>
        </w:tc>
        <w:tc>
          <w:tcPr>
            <w:tcW w:w="5273" w:type="dxa"/>
          </w:tcPr>
          <w:p>
            <w:pPr>
              <w:pStyle w:val="Tabkrper08pt"/>
            </w:pPr>
            <w:r>
              <w:t>Appendix 1 to Annex VII – Singapore</w:t>
            </w:r>
          </w:p>
        </w:tc>
      </w:tr>
      <w:tr>
        <w:tblPrEx>
          <w:tblW w:w="0" w:type="auto"/>
          <w:tblLayout w:type="fixed"/>
          <w:tblCellMar>
            <w:left w:w="0" w:type="dxa"/>
            <w:right w:w="0" w:type="dxa"/>
          </w:tblCellMar>
          <w:tblLook w:val="0000"/>
        </w:tblPrEx>
        <w:tc>
          <w:tcPr>
            <w:tcW w:w="851" w:type="dxa"/>
          </w:tcPr>
          <w:p>
            <w:pPr>
              <w:pStyle w:val="Tabkrper08pt"/>
            </w:pPr>
          </w:p>
        </w:tc>
        <w:tc>
          <w:tcPr>
            <w:tcW w:w="5273" w:type="dxa"/>
          </w:tcPr>
          <w:p>
            <w:pPr>
              <w:pStyle w:val="Tabkrper08pt"/>
            </w:pPr>
            <w:r>
              <w:t>Appendix 2 to Annex VII – Liechtenstein</w:t>
            </w:r>
          </w:p>
        </w:tc>
      </w:tr>
      <w:tr>
        <w:tblPrEx>
          <w:tblW w:w="0" w:type="auto"/>
          <w:tblLayout w:type="fixed"/>
          <w:tblCellMar>
            <w:left w:w="0" w:type="dxa"/>
            <w:right w:w="0" w:type="dxa"/>
          </w:tblCellMar>
          <w:tblLook w:val="0000"/>
        </w:tblPrEx>
        <w:tc>
          <w:tcPr>
            <w:tcW w:w="851" w:type="dxa"/>
          </w:tcPr>
          <w:p>
            <w:pPr>
              <w:pStyle w:val="Tabkrper08pt"/>
            </w:pPr>
          </w:p>
        </w:tc>
        <w:tc>
          <w:tcPr>
            <w:tcW w:w="5273" w:type="dxa"/>
          </w:tcPr>
          <w:p>
            <w:pPr>
              <w:pStyle w:val="Tabkrper08pt"/>
            </w:pPr>
            <w:r>
              <w:t>Appendix 3 to Annex VII – Iceland</w:t>
            </w:r>
          </w:p>
        </w:tc>
      </w:tr>
      <w:tr>
        <w:tblPrEx>
          <w:tblW w:w="0" w:type="auto"/>
          <w:tblLayout w:type="fixed"/>
          <w:tblCellMar>
            <w:left w:w="0" w:type="dxa"/>
            <w:right w:w="0" w:type="dxa"/>
          </w:tblCellMar>
          <w:tblLook w:val="0000"/>
        </w:tblPrEx>
        <w:tc>
          <w:tcPr>
            <w:tcW w:w="851" w:type="dxa"/>
          </w:tcPr>
          <w:p>
            <w:pPr>
              <w:pStyle w:val="Tabkrper08pt"/>
            </w:pPr>
          </w:p>
        </w:tc>
        <w:tc>
          <w:tcPr>
            <w:tcW w:w="5273" w:type="dxa"/>
          </w:tcPr>
          <w:p>
            <w:pPr>
              <w:pStyle w:val="Tabkrper08pt"/>
            </w:pPr>
            <w:r>
              <w:t>Appendix 4 to Annex VII – Norway</w:t>
            </w:r>
          </w:p>
        </w:tc>
      </w:tr>
      <w:tr>
        <w:tblPrEx>
          <w:tblW w:w="0" w:type="auto"/>
          <w:tblLayout w:type="fixed"/>
          <w:tblCellMar>
            <w:left w:w="0" w:type="dxa"/>
            <w:right w:w="0" w:type="dxa"/>
          </w:tblCellMar>
          <w:tblLook w:val="0000"/>
        </w:tblPrEx>
        <w:tc>
          <w:tcPr>
            <w:tcW w:w="851" w:type="dxa"/>
          </w:tcPr>
          <w:p>
            <w:pPr>
              <w:pStyle w:val="Tabkrper08pt"/>
            </w:pPr>
          </w:p>
        </w:tc>
        <w:tc>
          <w:tcPr>
            <w:tcW w:w="5273" w:type="dxa"/>
          </w:tcPr>
          <w:p>
            <w:pPr>
              <w:pStyle w:val="Tabkrper08pt"/>
            </w:pPr>
            <w:r>
              <w:t>Appendix 5 to Annex VII – Switzerland</w:t>
            </w:r>
          </w:p>
        </w:tc>
      </w:tr>
      <w:tr>
        <w:tblPrEx>
          <w:tblW w:w="0" w:type="auto"/>
          <w:tblLayout w:type="fixed"/>
          <w:tblCellMar>
            <w:left w:w="0" w:type="dxa"/>
            <w:right w:w="0" w:type="dxa"/>
          </w:tblCellMar>
          <w:tblLook w:val="0000"/>
        </w:tblPrEx>
        <w:tc>
          <w:tcPr>
            <w:tcW w:w="851" w:type="dxa"/>
          </w:tcPr>
          <w:p>
            <w:pPr>
              <w:pStyle w:val="Tabkrper38pt-kurs"/>
              <w:rPr>
                <w:b/>
              </w:rPr>
            </w:pPr>
            <w:r>
              <w:rPr>
                <w:b/>
              </w:rPr>
              <w:t>Annex VII</w:t>
            </w:r>
          </w:p>
        </w:tc>
        <w:tc>
          <w:tcPr>
            <w:tcW w:w="5273" w:type="dxa"/>
          </w:tcPr>
          <w:p>
            <w:pPr>
              <w:pStyle w:val="Tabkrper38pt"/>
            </w:pPr>
            <w:r>
              <w:t>Financial services</w:t>
            </w:r>
          </w:p>
        </w:tc>
      </w:tr>
      <w:tr>
        <w:tblPrEx>
          <w:tblW w:w="0" w:type="auto"/>
          <w:tblLayout w:type="fixed"/>
          <w:tblCellMar>
            <w:left w:w="0" w:type="dxa"/>
            <w:right w:w="0" w:type="dxa"/>
          </w:tblCellMar>
          <w:tblLook w:val="0000"/>
        </w:tblPrEx>
        <w:tc>
          <w:tcPr>
            <w:tcW w:w="851" w:type="dxa"/>
          </w:tcPr>
          <w:p>
            <w:pPr>
              <w:pStyle w:val="Tabkrper38pt-kurs"/>
              <w:rPr>
                <w:b/>
              </w:rPr>
            </w:pPr>
            <w:r>
              <w:rPr>
                <w:b/>
              </w:rPr>
              <w:t>Annex IX</w:t>
            </w:r>
          </w:p>
        </w:tc>
        <w:tc>
          <w:tcPr>
            <w:tcW w:w="5273" w:type="dxa"/>
          </w:tcPr>
          <w:p>
            <w:pPr>
              <w:pStyle w:val="Tabkrper38pt"/>
            </w:pPr>
            <w:r>
              <w:t>Telecommunications services</w:t>
            </w:r>
          </w:p>
        </w:tc>
      </w:tr>
      <w:tr>
        <w:tblPrEx>
          <w:tblW w:w="0" w:type="auto"/>
          <w:tblLayout w:type="fixed"/>
          <w:tblCellMar>
            <w:left w:w="0" w:type="dxa"/>
            <w:right w:w="0" w:type="dxa"/>
          </w:tblCellMar>
          <w:tblLook w:val="0000"/>
        </w:tblPrEx>
        <w:tc>
          <w:tcPr>
            <w:tcW w:w="851" w:type="dxa"/>
          </w:tcPr>
          <w:p>
            <w:pPr>
              <w:pStyle w:val="Tabkrper38pt-kurs"/>
              <w:rPr>
                <w:b/>
              </w:rPr>
            </w:pPr>
            <w:r>
              <w:rPr>
                <w:b/>
              </w:rPr>
              <w:t>Annex X</w:t>
            </w:r>
          </w:p>
        </w:tc>
        <w:tc>
          <w:tcPr>
            <w:tcW w:w="5273" w:type="dxa"/>
          </w:tcPr>
          <w:p>
            <w:pPr>
              <w:pStyle w:val="Tabkrper38pt"/>
            </w:pPr>
            <w:r>
              <w:t>Recognition of qualifications for engineering services</w:t>
            </w:r>
          </w:p>
        </w:tc>
      </w:tr>
      <w:tr>
        <w:tblPrEx>
          <w:tblW w:w="0" w:type="auto"/>
          <w:tblLayout w:type="fixed"/>
          <w:tblCellMar>
            <w:left w:w="0" w:type="dxa"/>
            <w:right w:w="0" w:type="dxa"/>
          </w:tblCellMar>
          <w:tblLook w:val="0000"/>
        </w:tblPrEx>
        <w:tc>
          <w:tcPr>
            <w:tcW w:w="851" w:type="dxa"/>
          </w:tcPr>
          <w:p>
            <w:pPr>
              <w:pStyle w:val="Tabkrper38pt-kurs"/>
              <w:rPr>
                <w:b/>
              </w:rPr>
            </w:pPr>
            <w:r>
              <w:rPr>
                <w:b/>
              </w:rPr>
              <w:t>Annex XI</w:t>
            </w:r>
          </w:p>
        </w:tc>
        <w:tc>
          <w:tcPr>
            <w:tcW w:w="5273" w:type="dxa"/>
          </w:tcPr>
          <w:p>
            <w:pPr>
              <w:pStyle w:val="Tabkrper38pt"/>
            </w:pPr>
            <w:r>
              <w:t>Investment reservations</w:t>
            </w:r>
          </w:p>
        </w:tc>
      </w:tr>
      <w:tr>
        <w:tblPrEx>
          <w:tblW w:w="0" w:type="auto"/>
          <w:tblLayout w:type="fixed"/>
          <w:tblCellMar>
            <w:left w:w="0" w:type="dxa"/>
            <w:right w:w="0" w:type="dxa"/>
          </w:tblCellMar>
          <w:tblLook w:val="0000"/>
        </w:tblPrEx>
        <w:tc>
          <w:tcPr>
            <w:tcW w:w="851" w:type="dxa"/>
          </w:tcPr>
          <w:p>
            <w:pPr>
              <w:pStyle w:val="Tabkrper08pt"/>
            </w:pPr>
          </w:p>
        </w:tc>
        <w:tc>
          <w:tcPr>
            <w:tcW w:w="5273" w:type="dxa"/>
          </w:tcPr>
          <w:p>
            <w:pPr>
              <w:pStyle w:val="Tabkrper08pt"/>
            </w:pPr>
            <w:r>
              <w:t>Appendix 1 to Annex XI – Reservations by all parties</w:t>
            </w:r>
          </w:p>
        </w:tc>
      </w:tr>
      <w:tr>
        <w:tblPrEx>
          <w:tblW w:w="0" w:type="auto"/>
          <w:tblLayout w:type="fixed"/>
          <w:tblCellMar>
            <w:left w:w="0" w:type="dxa"/>
            <w:right w:w="0" w:type="dxa"/>
          </w:tblCellMar>
          <w:tblLook w:val="0000"/>
        </w:tblPrEx>
        <w:tc>
          <w:tcPr>
            <w:tcW w:w="851" w:type="dxa"/>
          </w:tcPr>
          <w:p>
            <w:pPr>
              <w:pStyle w:val="Tabkrper08pt"/>
            </w:pPr>
          </w:p>
        </w:tc>
        <w:tc>
          <w:tcPr>
            <w:tcW w:w="5273" w:type="dxa"/>
          </w:tcPr>
          <w:p>
            <w:pPr>
              <w:pStyle w:val="Tabkrper08pt"/>
            </w:pPr>
            <w:r>
              <w:t>Appendix 2 to Annex XI – Reservations by the EFTA States</w:t>
            </w:r>
          </w:p>
        </w:tc>
      </w:tr>
      <w:tr>
        <w:tblPrEx>
          <w:tblW w:w="0" w:type="auto"/>
          <w:tblLayout w:type="fixed"/>
          <w:tblCellMar>
            <w:left w:w="0" w:type="dxa"/>
            <w:right w:w="0" w:type="dxa"/>
          </w:tblCellMar>
          <w:tblLook w:val="0000"/>
        </w:tblPrEx>
        <w:tc>
          <w:tcPr>
            <w:tcW w:w="851" w:type="dxa"/>
          </w:tcPr>
          <w:p>
            <w:pPr>
              <w:pStyle w:val="Tabkrper08pt"/>
            </w:pPr>
          </w:p>
        </w:tc>
        <w:tc>
          <w:tcPr>
            <w:tcW w:w="5273" w:type="dxa"/>
          </w:tcPr>
          <w:p>
            <w:pPr>
              <w:pStyle w:val="Tabkrper08pt"/>
            </w:pPr>
            <w:r>
              <w:t>Appendix 3 to Annex XI – Reservations by Singapore</w:t>
            </w:r>
          </w:p>
        </w:tc>
      </w:tr>
      <w:tr>
        <w:tblPrEx>
          <w:tblW w:w="0" w:type="auto"/>
          <w:tblLayout w:type="fixed"/>
          <w:tblCellMar>
            <w:left w:w="0" w:type="dxa"/>
            <w:right w:w="0" w:type="dxa"/>
          </w:tblCellMar>
          <w:tblLook w:val="0000"/>
        </w:tblPrEx>
        <w:tc>
          <w:tcPr>
            <w:tcW w:w="851" w:type="dxa"/>
          </w:tcPr>
          <w:p>
            <w:pPr>
              <w:pStyle w:val="Tabkrper08pt"/>
            </w:pPr>
          </w:p>
        </w:tc>
        <w:tc>
          <w:tcPr>
            <w:tcW w:w="5273" w:type="dxa"/>
          </w:tcPr>
          <w:p>
            <w:pPr>
              <w:pStyle w:val="Tabkrper08pt"/>
            </w:pPr>
            <w:r>
              <w:t>Appendix 4 to Annex XI – Reservations by Iceland</w:t>
            </w:r>
          </w:p>
        </w:tc>
      </w:tr>
      <w:tr>
        <w:tblPrEx>
          <w:tblW w:w="0" w:type="auto"/>
          <w:tblLayout w:type="fixed"/>
          <w:tblCellMar>
            <w:left w:w="0" w:type="dxa"/>
            <w:right w:w="0" w:type="dxa"/>
          </w:tblCellMar>
          <w:tblLook w:val="0000"/>
        </w:tblPrEx>
        <w:tc>
          <w:tcPr>
            <w:tcW w:w="851" w:type="dxa"/>
          </w:tcPr>
          <w:p>
            <w:pPr>
              <w:pStyle w:val="Tabkrper08pt"/>
            </w:pPr>
          </w:p>
        </w:tc>
        <w:tc>
          <w:tcPr>
            <w:tcW w:w="5273" w:type="dxa"/>
          </w:tcPr>
          <w:p>
            <w:pPr>
              <w:pStyle w:val="Tabkrper08pt"/>
            </w:pPr>
            <w:r>
              <w:t>Appendix 5 to Annex XI – Reservations by Liechtenstein</w:t>
            </w:r>
          </w:p>
        </w:tc>
      </w:tr>
      <w:tr>
        <w:tblPrEx>
          <w:tblW w:w="0" w:type="auto"/>
          <w:tblLayout w:type="fixed"/>
          <w:tblCellMar>
            <w:left w:w="0" w:type="dxa"/>
            <w:right w:w="0" w:type="dxa"/>
          </w:tblCellMar>
          <w:tblLook w:val="0000"/>
        </w:tblPrEx>
        <w:tc>
          <w:tcPr>
            <w:tcW w:w="851" w:type="dxa"/>
          </w:tcPr>
          <w:p>
            <w:pPr>
              <w:pStyle w:val="Tabkrper08pt"/>
            </w:pPr>
          </w:p>
        </w:tc>
        <w:tc>
          <w:tcPr>
            <w:tcW w:w="5273" w:type="dxa"/>
          </w:tcPr>
          <w:p>
            <w:pPr>
              <w:pStyle w:val="Tabkrper08pt"/>
            </w:pPr>
            <w:r>
              <w:t>Appendix 6 to Annex XI – Reservations by Norway</w:t>
            </w:r>
          </w:p>
        </w:tc>
      </w:tr>
      <w:tr>
        <w:tblPrEx>
          <w:tblW w:w="0" w:type="auto"/>
          <w:tblLayout w:type="fixed"/>
          <w:tblCellMar>
            <w:left w:w="0" w:type="dxa"/>
            <w:right w:w="0" w:type="dxa"/>
          </w:tblCellMar>
          <w:tblLook w:val="0000"/>
        </w:tblPrEx>
        <w:tc>
          <w:tcPr>
            <w:tcW w:w="851" w:type="dxa"/>
          </w:tcPr>
          <w:p>
            <w:pPr>
              <w:pStyle w:val="Tabkrper08pt"/>
            </w:pPr>
          </w:p>
        </w:tc>
        <w:tc>
          <w:tcPr>
            <w:tcW w:w="5273" w:type="dxa"/>
          </w:tcPr>
          <w:p>
            <w:pPr>
              <w:pStyle w:val="Tabkrper08pt"/>
            </w:pPr>
            <w:r>
              <w:t>Appendix 7 to Annex XI – Reservations by Switzerland</w:t>
            </w:r>
          </w:p>
        </w:tc>
      </w:tr>
      <w:tr>
        <w:tblPrEx>
          <w:tblW w:w="0" w:type="auto"/>
          <w:tblLayout w:type="fixed"/>
          <w:tblCellMar>
            <w:left w:w="0" w:type="dxa"/>
            <w:right w:w="0" w:type="dxa"/>
          </w:tblCellMar>
          <w:tblLook w:val="0000"/>
        </w:tblPrEx>
        <w:tc>
          <w:tcPr>
            <w:tcW w:w="851" w:type="dxa"/>
          </w:tcPr>
          <w:p>
            <w:pPr>
              <w:pStyle w:val="Tabkrper38pt-kurs"/>
              <w:rPr>
                <w:b/>
              </w:rPr>
            </w:pPr>
            <w:r>
              <w:rPr>
                <w:b/>
              </w:rPr>
              <w:t>Annex XII</w:t>
            </w:r>
          </w:p>
        </w:tc>
        <w:tc>
          <w:tcPr>
            <w:tcW w:w="5273" w:type="dxa"/>
          </w:tcPr>
          <w:p>
            <w:pPr>
              <w:pStyle w:val="Tabkrper38pt"/>
            </w:pPr>
            <w:r>
              <w:t>Protection of intellectual property</w:t>
            </w:r>
          </w:p>
        </w:tc>
      </w:tr>
      <w:tr>
        <w:tblPrEx>
          <w:tblW w:w="0" w:type="auto"/>
          <w:tblLayout w:type="fixed"/>
          <w:tblCellMar>
            <w:left w:w="0" w:type="dxa"/>
            <w:right w:w="0" w:type="dxa"/>
          </w:tblCellMar>
          <w:tblLook w:val="0000"/>
        </w:tblPrEx>
        <w:tc>
          <w:tcPr>
            <w:tcW w:w="851" w:type="dxa"/>
          </w:tcPr>
          <w:p>
            <w:pPr>
              <w:pStyle w:val="Tabkrper38pt-kurs"/>
              <w:rPr>
                <w:b/>
              </w:rPr>
            </w:pPr>
          </w:p>
        </w:tc>
        <w:tc>
          <w:tcPr>
            <w:tcW w:w="5273" w:type="dxa"/>
          </w:tcPr>
          <w:p>
            <w:pPr>
              <w:pStyle w:val="Tabkrper38pt"/>
            </w:pPr>
          </w:p>
        </w:tc>
      </w:tr>
      <w:tr>
        <w:tblPrEx>
          <w:tblW w:w="0" w:type="auto"/>
          <w:tblLayout w:type="fixed"/>
          <w:tblCellMar>
            <w:left w:w="0" w:type="dxa"/>
            <w:right w:w="0" w:type="dxa"/>
          </w:tblCellMar>
          <w:tblLook w:val="0000"/>
        </w:tblPrEx>
        <w:tc>
          <w:tcPr>
            <w:tcW w:w="851" w:type="dxa"/>
          </w:tcPr>
          <w:p>
            <w:pPr>
              <w:pStyle w:val="Tabkrper38pt"/>
              <w:rPr>
                <w:b/>
                <w:i/>
              </w:rPr>
            </w:pPr>
          </w:p>
        </w:tc>
        <w:tc>
          <w:tcPr>
            <w:tcW w:w="5273" w:type="dxa"/>
          </w:tcPr>
          <w:p>
            <w:pPr>
              <w:pStyle w:val="Tabkrper38pt"/>
              <w:rPr>
                <w:b/>
                <w:i/>
              </w:rPr>
            </w:pPr>
            <w:r>
              <w:rPr>
                <w:b/>
                <w:i/>
              </w:rPr>
              <w:t>Joint Committee Decisions</w:t>
            </w:r>
          </w:p>
        </w:tc>
      </w:tr>
      <w:tr>
        <w:tblPrEx>
          <w:tblW w:w="0" w:type="auto"/>
          <w:tblLayout w:type="fixed"/>
          <w:tblCellMar>
            <w:left w:w="0" w:type="dxa"/>
            <w:right w:w="0" w:type="dxa"/>
          </w:tblCellMar>
          <w:tblLook w:val="0000"/>
        </w:tblPrEx>
        <w:tc>
          <w:tcPr>
            <w:tcW w:w="851" w:type="dxa"/>
          </w:tcPr>
          <w:p>
            <w:pPr>
              <w:pStyle w:val="Tabkrper08pt"/>
              <w:rPr>
                <w:i/>
              </w:rPr>
            </w:pPr>
            <w:r>
              <w:rPr>
                <w:i/>
              </w:rPr>
              <w:t>No 1–11</w:t>
            </w:r>
          </w:p>
        </w:tc>
        <w:tc>
          <w:tcPr>
            <w:tcW w:w="5273" w:type="dxa"/>
          </w:tcPr>
          <w:p>
            <w:pPr>
              <w:pStyle w:val="Tabkrper08pt"/>
            </w:pPr>
            <w:r>
              <w:t>Amendments to Article 21 of Main Agreement</w:t>
            </w:r>
          </w:p>
        </w:tc>
      </w:tr>
      <w:tr>
        <w:tblPrEx>
          <w:tblW w:w="0" w:type="auto"/>
          <w:tblLayout w:type="fixed"/>
          <w:tblCellMar>
            <w:left w:w="0" w:type="dxa"/>
            <w:right w:w="0" w:type="dxa"/>
          </w:tblCellMar>
          <w:tblLook w:val="0000"/>
        </w:tblPrEx>
        <w:tc>
          <w:tcPr>
            <w:tcW w:w="851" w:type="dxa"/>
          </w:tcPr>
          <w:p>
            <w:pPr>
              <w:pStyle w:val="Tabkrper08pt"/>
              <w:rPr>
                <w:i/>
              </w:rPr>
            </w:pPr>
            <w:r>
              <w:rPr>
                <w:i/>
              </w:rPr>
              <w:t>No 5–07</w:t>
            </w:r>
          </w:p>
        </w:tc>
        <w:tc>
          <w:tcPr>
            <w:tcW w:w="5273" w:type="dxa"/>
          </w:tcPr>
          <w:p>
            <w:pPr>
              <w:pStyle w:val="Tabkrper08pt"/>
            </w:pPr>
            <w:r>
              <w:t>Amendments to Appendices 1-3 to Annex I</w:t>
            </w:r>
          </w:p>
        </w:tc>
      </w:tr>
      <w:tr>
        <w:tblPrEx>
          <w:tblW w:w="0" w:type="auto"/>
          <w:tblLayout w:type="fixed"/>
          <w:tblCellMar>
            <w:left w:w="0" w:type="dxa"/>
            <w:right w:w="0" w:type="dxa"/>
          </w:tblCellMar>
          <w:tblLook w:val="0000"/>
        </w:tblPrEx>
        <w:tc>
          <w:tcPr>
            <w:tcW w:w="851" w:type="dxa"/>
          </w:tcPr>
          <w:p>
            <w:pPr>
              <w:pStyle w:val="Tabkrper08pt"/>
              <w:rPr>
                <w:i/>
              </w:rPr>
            </w:pPr>
            <w:r>
              <w:rPr>
                <w:i/>
              </w:rPr>
              <w:t>No 4–07</w:t>
            </w:r>
          </w:p>
        </w:tc>
        <w:tc>
          <w:tcPr>
            <w:tcW w:w="5273" w:type="dxa"/>
          </w:tcPr>
          <w:p>
            <w:pPr>
              <w:pStyle w:val="Tabkrper08pt"/>
            </w:pPr>
            <w:r>
              <w:t>Amendments to Annex I</w:t>
            </w:r>
          </w:p>
        </w:tc>
      </w:tr>
      <w:tr>
        <w:tblPrEx>
          <w:tblW w:w="0" w:type="auto"/>
          <w:tblLayout w:type="fixed"/>
          <w:tblCellMar>
            <w:left w:w="0" w:type="dxa"/>
            <w:right w:w="0" w:type="dxa"/>
          </w:tblCellMar>
          <w:tblLook w:val="0000"/>
        </w:tblPrEx>
        <w:tc>
          <w:tcPr>
            <w:tcW w:w="851" w:type="dxa"/>
          </w:tcPr>
          <w:p>
            <w:pPr>
              <w:pStyle w:val="Tabkrper08pt"/>
              <w:rPr>
                <w:i/>
              </w:rPr>
            </w:pPr>
            <w:r>
              <w:rPr>
                <w:i/>
              </w:rPr>
              <w:t>No 3–07</w:t>
            </w:r>
          </w:p>
        </w:tc>
        <w:tc>
          <w:tcPr>
            <w:tcW w:w="5273" w:type="dxa"/>
          </w:tcPr>
          <w:p>
            <w:pPr>
              <w:pStyle w:val="Tabkrper08pt"/>
            </w:pPr>
            <w:r>
              <w:t>Amendment to Annex IV</w:t>
            </w:r>
          </w:p>
        </w:tc>
      </w:tr>
      <w:tr>
        <w:tblPrEx>
          <w:tblW w:w="0" w:type="auto"/>
          <w:tblLayout w:type="fixed"/>
          <w:tblCellMar>
            <w:left w:w="0" w:type="dxa"/>
            <w:right w:w="0" w:type="dxa"/>
          </w:tblCellMar>
          <w:tblLook w:val="0000"/>
        </w:tblPrEx>
        <w:tc>
          <w:tcPr>
            <w:tcW w:w="851" w:type="dxa"/>
          </w:tcPr>
          <w:p>
            <w:pPr>
              <w:pStyle w:val="Tabkrper08pt"/>
              <w:rPr>
                <w:i/>
              </w:rPr>
            </w:pPr>
            <w:r>
              <w:rPr>
                <w:i/>
              </w:rPr>
              <w:t>No 2–07</w:t>
            </w:r>
          </w:p>
        </w:tc>
        <w:tc>
          <w:tcPr>
            <w:tcW w:w="5273" w:type="dxa"/>
          </w:tcPr>
          <w:p>
            <w:pPr>
              <w:pStyle w:val="Tabkrper08pt"/>
            </w:pPr>
            <w:r>
              <w:t>Amendments to Annex V</w:t>
            </w:r>
          </w:p>
        </w:tc>
      </w:tr>
      <w:tr>
        <w:tblPrEx>
          <w:tblW w:w="0" w:type="auto"/>
          <w:tblLayout w:type="fixed"/>
          <w:tblCellMar>
            <w:left w:w="0" w:type="dxa"/>
            <w:right w:w="0" w:type="dxa"/>
          </w:tblCellMar>
          <w:tblLook w:val="0000"/>
        </w:tblPrEx>
        <w:tc>
          <w:tcPr>
            <w:tcW w:w="851" w:type="dxa"/>
          </w:tcPr>
          <w:p>
            <w:pPr>
              <w:pStyle w:val="Tabkrper08pt"/>
              <w:rPr>
                <w:i/>
              </w:rPr>
            </w:pPr>
            <w:r>
              <w:rPr>
                <w:i/>
              </w:rPr>
              <w:t>No 1–07</w:t>
            </w:r>
          </w:p>
        </w:tc>
        <w:tc>
          <w:tcPr>
            <w:tcW w:w="5273" w:type="dxa"/>
          </w:tcPr>
          <w:p>
            <w:pPr>
              <w:pStyle w:val="Tabkrper08pt"/>
            </w:pPr>
            <w:r>
              <w:t>Amendments to Annex III</w:t>
            </w:r>
          </w:p>
        </w:tc>
      </w:tr>
      <w:tr>
        <w:tblPrEx>
          <w:tblW w:w="0" w:type="auto"/>
          <w:tblLayout w:type="fixed"/>
          <w:tblCellMar>
            <w:left w:w="0" w:type="dxa"/>
            <w:right w:w="0" w:type="dxa"/>
          </w:tblCellMar>
          <w:tblLook w:val="0000"/>
        </w:tblPrEx>
        <w:tc>
          <w:tcPr>
            <w:tcW w:w="851" w:type="dxa"/>
          </w:tcPr>
          <w:p>
            <w:pPr>
              <w:pStyle w:val="Tabkrper08pt"/>
              <w:rPr>
                <w:i/>
              </w:rPr>
            </w:pPr>
            <w:r>
              <w:rPr>
                <w:i/>
              </w:rPr>
              <w:t>No 2–04</w:t>
            </w:r>
          </w:p>
        </w:tc>
        <w:tc>
          <w:tcPr>
            <w:tcW w:w="5273" w:type="dxa"/>
          </w:tcPr>
          <w:p>
            <w:pPr>
              <w:pStyle w:val="Tabkrper08pt"/>
            </w:pPr>
            <w:r>
              <w:t>Model rules of procedure for the arbitration panel</w:t>
            </w:r>
          </w:p>
        </w:tc>
      </w:tr>
      <w:tr>
        <w:tblPrEx>
          <w:tblW w:w="0" w:type="auto"/>
          <w:tblLayout w:type="fixed"/>
          <w:tblCellMar>
            <w:left w:w="0" w:type="dxa"/>
            <w:right w:w="0" w:type="dxa"/>
          </w:tblCellMar>
          <w:tblLook w:val="0000"/>
        </w:tblPrEx>
        <w:tc>
          <w:tcPr>
            <w:tcW w:w="851" w:type="dxa"/>
          </w:tcPr>
          <w:p>
            <w:pPr>
              <w:pStyle w:val="Tabkrper08pt"/>
              <w:rPr>
                <w:i/>
              </w:rPr>
            </w:pPr>
            <w:r>
              <w:rPr>
                <w:i/>
              </w:rPr>
              <w:t>No 1–04</w:t>
            </w:r>
          </w:p>
        </w:tc>
        <w:tc>
          <w:tcPr>
            <w:tcW w:w="5273" w:type="dxa"/>
          </w:tcPr>
          <w:p>
            <w:pPr>
              <w:pStyle w:val="Tabkrper08pt"/>
            </w:pPr>
            <w:r>
              <w:t>Establishing the rules of procedure of the EFTA-Singapore Joint Committee</w:t>
            </w:r>
          </w:p>
        </w:tc>
      </w:tr>
    </w:tbl>
    <w:p>
      <w:pPr>
        <w:pStyle w:val="Abstand4pt"/>
      </w:pPr>
    </w:p>
    <w:p>
      <w:pPr>
        <w:pStyle w:val="Heading1"/>
      </w:pPr>
      <w:r>
        <w:t>Geltungsbereich am 1. Januar 2003</w:t>
      </w:r>
    </w:p>
    <w:p>
      <w:pPr>
        <w:pStyle w:val="Abstand4pt"/>
      </w:pPr>
    </w:p>
    <w:p>
      <w:pPr>
        <w:pStyle w:val="Abstand4pt"/>
      </w:pPr>
    </w:p>
    <w:tbl>
      <w:tblPr>
        <w:tblStyle w:val="TableNormal"/>
        <w:tblW w:w="0" w:type="auto"/>
        <w:tblLayout w:type="fixed"/>
        <w:tblCellMar>
          <w:left w:w="0" w:type="dxa"/>
          <w:right w:w="0" w:type="dxa"/>
        </w:tblCellMar>
        <w:tblLook w:val="0000"/>
      </w:tblPr>
      <w:tblGrid>
        <w:gridCol w:w="2665"/>
        <w:gridCol w:w="1134"/>
        <w:gridCol w:w="794"/>
        <w:gridCol w:w="1134"/>
        <w:gridCol w:w="397"/>
      </w:tblGrid>
      <w:tr>
        <w:tblPrEx>
          <w:tblW w:w="0" w:type="auto"/>
          <w:tblLayout w:type="fixed"/>
          <w:tblCellMar>
            <w:left w:w="0" w:type="dxa"/>
            <w:right w:w="0" w:type="dxa"/>
          </w:tblCellMar>
          <w:tblLook w:val="0000"/>
        </w:tblPrEx>
        <w:trPr>
          <w:tblHeader/>
        </w:trPr>
        <w:tc>
          <w:tcPr>
            <w:tcW w:w="2665" w:type="dxa"/>
            <w:tcBorders>
              <w:top w:val="single" w:sz="6" w:space="0" w:color="auto"/>
              <w:left w:val="nil"/>
              <w:bottom w:val="single" w:sz="6" w:space="0" w:color="auto"/>
              <w:right w:val="nil"/>
            </w:tcBorders>
          </w:tcPr>
          <w:p>
            <w:pPr>
              <w:pStyle w:val="TabellenkopfN"/>
            </w:pPr>
            <w:r>
              <w:t>Vertragsstaaten</w:t>
            </w:r>
          </w:p>
        </w:tc>
        <w:tc>
          <w:tcPr>
            <w:tcW w:w="1134" w:type="dxa"/>
            <w:tcBorders>
              <w:top w:val="single" w:sz="6" w:space="0" w:color="auto"/>
              <w:left w:val="nil"/>
              <w:bottom w:val="single" w:sz="6" w:space="0" w:color="auto"/>
              <w:right w:val="nil"/>
            </w:tcBorders>
            <w:vAlign w:val="bottom"/>
          </w:tcPr>
          <w:p>
            <w:pPr>
              <w:pStyle w:val="TabellenkopfN"/>
            </w:pPr>
            <w:r>
              <w:t>Ratifikation</w:t>
            </w:r>
          </w:p>
        </w:tc>
        <w:tc>
          <w:tcPr>
            <w:tcW w:w="794" w:type="dxa"/>
            <w:tcBorders>
              <w:top w:val="single" w:sz="6" w:space="0" w:color="auto"/>
              <w:left w:val="nil"/>
              <w:bottom w:val="single" w:sz="6" w:space="0" w:color="auto"/>
              <w:right w:val="nil"/>
            </w:tcBorders>
            <w:vAlign w:val="bottom"/>
          </w:tcPr>
          <w:p>
            <w:pPr>
              <w:pStyle w:val="TabellenkopfN"/>
            </w:pPr>
          </w:p>
        </w:tc>
        <w:tc>
          <w:tcPr>
            <w:tcW w:w="1134" w:type="dxa"/>
            <w:tcBorders>
              <w:top w:val="single" w:sz="6" w:space="0" w:color="auto"/>
              <w:left w:val="nil"/>
              <w:bottom w:val="single" w:sz="6" w:space="0" w:color="auto"/>
              <w:right w:val="nil"/>
            </w:tcBorders>
            <w:vAlign w:val="bottom"/>
          </w:tcPr>
          <w:p>
            <w:pPr>
              <w:pStyle w:val="TabellenkopfN"/>
            </w:pPr>
            <w:r>
              <w:t>Inkrafttreten</w:t>
            </w:r>
          </w:p>
        </w:tc>
        <w:tc>
          <w:tcPr>
            <w:tcW w:w="397" w:type="dxa"/>
            <w:tcBorders>
              <w:top w:val="single" w:sz="6" w:space="0" w:color="auto"/>
              <w:left w:val="nil"/>
              <w:bottom w:val="single" w:sz="6" w:space="0" w:color="auto"/>
              <w:right w:val="nil"/>
            </w:tcBorders>
            <w:vAlign w:val="bottom"/>
          </w:tcPr>
          <w:p>
            <w:pPr>
              <w:pStyle w:val="TabellenkopfN"/>
            </w:pP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abstandnach"/>
            </w:pPr>
          </w:p>
        </w:tc>
        <w:tc>
          <w:tcPr>
            <w:tcW w:w="1134" w:type="dxa"/>
            <w:tcBorders>
              <w:top w:val="nil"/>
              <w:left w:val="nil"/>
              <w:bottom w:val="nil"/>
              <w:right w:val="nil"/>
            </w:tcBorders>
            <w:vAlign w:val="bottom"/>
          </w:tcPr>
          <w:p>
            <w:pPr>
              <w:pStyle w:val="Tababstandnach"/>
            </w:pPr>
          </w:p>
        </w:tc>
        <w:tc>
          <w:tcPr>
            <w:tcW w:w="794" w:type="dxa"/>
            <w:tcBorders>
              <w:top w:val="nil"/>
              <w:left w:val="nil"/>
              <w:bottom w:val="nil"/>
              <w:right w:val="nil"/>
            </w:tcBorders>
            <w:vAlign w:val="bottom"/>
          </w:tcPr>
          <w:p>
            <w:pPr>
              <w:pStyle w:val="Tababstandnach"/>
            </w:pPr>
          </w:p>
        </w:tc>
        <w:tc>
          <w:tcPr>
            <w:tcW w:w="1134" w:type="dxa"/>
            <w:tcBorders>
              <w:top w:val="nil"/>
              <w:left w:val="nil"/>
              <w:bottom w:val="nil"/>
              <w:right w:val="nil"/>
            </w:tcBorders>
            <w:vAlign w:val="bottom"/>
          </w:tcPr>
          <w:p>
            <w:pPr>
              <w:pStyle w:val="Tababstandnach"/>
            </w:pPr>
          </w:p>
        </w:tc>
        <w:tc>
          <w:tcPr>
            <w:tcW w:w="397" w:type="dxa"/>
            <w:tcBorders>
              <w:top w:val="nil"/>
              <w:left w:val="nil"/>
              <w:bottom w:val="nil"/>
              <w:right w:val="nil"/>
            </w:tcBorders>
            <w:vAlign w:val="bottom"/>
          </w:tcPr>
          <w:p>
            <w:pPr>
              <w:pStyle w:val="Tababstandnach"/>
            </w:pP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Island</w:t>
            </w:r>
          </w:p>
        </w:tc>
        <w:tc>
          <w:tcPr>
            <w:tcW w:w="1134" w:type="dxa"/>
            <w:tcBorders>
              <w:top w:val="nil"/>
              <w:left w:val="nil"/>
              <w:bottom w:val="nil"/>
              <w:right w:val="nil"/>
            </w:tcBorders>
            <w:vAlign w:val="bottom"/>
          </w:tcPr>
          <w:p>
            <w:pPr>
              <w:pStyle w:val="Tabkrper09pt"/>
            </w:pPr>
            <w:r>
              <w:t>30. Dezember</w:t>
            </w:r>
          </w:p>
        </w:tc>
        <w:tc>
          <w:tcPr>
            <w:tcW w:w="794" w:type="dxa"/>
            <w:tcBorders>
              <w:top w:val="nil"/>
              <w:left w:val="nil"/>
              <w:bottom w:val="nil"/>
              <w:right w:val="nil"/>
            </w:tcBorders>
            <w:vAlign w:val="bottom"/>
          </w:tcPr>
          <w:p>
            <w:pPr>
              <w:pStyle w:val="Tabkrper09pt"/>
            </w:pPr>
            <w:r>
              <w:t>2002</w:t>
            </w:r>
          </w:p>
        </w:tc>
        <w:tc>
          <w:tcPr>
            <w:tcW w:w="1134" w:type="dxa"/>
            <w:tcBorders>
              <w:top w:val="nil"/>
              <w:left w:val="nil"/>
              <w:bottom w:val="nil"/>
              <w:right w:val="nil"/>
            </w:tcBorders>
            <w:vAlign w:val="bottom"/>
          </w:tcPr>
          <w:p>
            <w:pPr>
              <w:pStyle w:val="Tabkrper09pt"/>
            </w:pPr>
            <w:r>
              <w:t>1. Januar</w:t>
            </w:r>
          </w:p>
        </w:tc>
        <w:tc>
          <w:tcPr>
            <w:tcW w:w="397" w:type="dxa"/>
            <w:tcBorders>
              <w:top w:val="nil"/>
              <w:left w:val="nil"/>
              <w:bottom w:val="nil"/>
              <w:right w:val="nil"/>
            </w:tcBorders>
            <w:vAlign w:val="bottom"/>
          </w:tcPr>
          <w:p>
            <w:pPr>
              <w:pStyle w:val="Tabkrper09pt"/>
            </w:pPr>
            <w:r>
              <w:t>2003</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Liechtenstein</w:t>
            </w:r>
          </w:p>
        </w:tc>
        <w:tc>
          <w:tcPr>
            <w:tcW w:w="1134" w:type="dxa"/>
            <w:tcBorders>
              <w:top w:val="nil"/>
              <w:left w:val="nil"/>
              <w:bottom w:val="nil"/>
              <w:right w:val="nil"/>
            </w:tcBorders>
            <w:vAlign w:val="bottom"/>
          </w:tcPr>
          <w:p>
            <w:pPr>
              <w:pStyle w:val="Tabkrper09pt"/>
            </w:pPr>
            <w:r>
              <w:t>30. Dezember</w:t>
            </w:r>
          </w:p>
        </w:tc>
        <w:tc>
          <w:tcPr>
            <w:tcW w:w="794" w:type="dxa"/>
            <w:tcBorders>
              <w:top w:val="nil"/>
              <w:left w:val="nil"/>
              <w:bottom w:val="nil"/>
              <w:right w:val="nil"/>
            </w:tcBorders>
            <w:vAlign w:val="bottom"/>
          </w:tcPr>
          <w:p>
            <w:pPr>
              <w:pStyle w:val="Tabkrper09pt"/>
            </w:pPr>
            <w:r>
              <w:t>2002</w:t>
            </w:r>
          </w:p>
        </w:tc>
        <w:tc>
          <w:tcPr>
            <w:tcW w:w="1134" w:type="dxa"/>
            <w:tcBorders>
              <w:top w:val="nil"/>
              <w:left w:val="nil"/>
              <w:bottom w:val="nil"/>
              <w:right w:val="nil"/>
            </w:tcBorders>
            <w:vAlign w:val="bottom"/>
          </w:tcPr>
          <w:p>
            <w:pPr>
              <w:pStyle w:val="Tabkrper09pt"/>
            </w:pPr>
            <w:r>
              <w:t>1. Januar</w:t>
            </w:r>
          </w:p>
        </w:tc>
        <w:tc>
          <w:tcPr>
            <w:tcW w:w="397" w:type="dxa"/>
            <w:tcBorders>
              <w:top w:val="nil"/>
              <w:left w:val="nil"/>
              <w:bottom w:val="nil"/>
              <w:right w:val="nil"/>
            </w:tcBorders>
            <w:vAlign w:val="bottom"/>
          </w:tcPr>
          <w:p>
            <w:pPr>
              <w:pStyle w:val="Tabkrper09pt"/>
            </w:pPr>
            <w:r>
              <w:t>2003</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Norwegen</w:t>
            </w:r>
          </w:p>
        </w:tc>
        <w:tc>
          <w:tcPr>
            <w:tcW w:w="1134" w:type="dxa"/>
            <w:tcBorders>
              <w:top w:val="nil"/>
              <w:left w:val="nil"/>
              <w:bottom w:val="nil"/>
              <w:right w:val="nil"/>
            </w:tcBorders>
            <w:vAlign w:val="bottom"/>
          </w:tcPr>
          <w:p>
            <w:pPr>
              <w:pStyle w:val="Tabkrper09pt"/>
            </w:pPr>
            <w:r>
              <w:t>19. Dezember</w:t>
            </w:r>
          </w:p>
        </w:tc>
        <w:tc>
          <w:tcPr>
            <w:tcW w:w="794" w:type="dxa"/>
            <w:tcBorders>
              <w:top w:val="nil"/>
              <w:left w:val="nil"/>
              <w:bottom w:val="nil"/>
              <w:right w:val="nil"/>
            </w:tcBorders>
            <w:vAlign w:val="bottom"/>
          </w:tcPr>
          <w:p>
            <w:pPr>
              <w:pStyle w:val="Tabkrper09pt"/>
            </w:pPr>
            <w:r>
              <w:t>2002</w:t>
            </w:r>
          </w:p>
        </w:tc>
        <w:tc>
          <w:tcPr>
            <w:tcW w:w="1134" w:type="dxa"/>
            <w:tcBorders>
              <w:top w:val="nil"/>
              <w:left w:val="nil"/>
              <w:bottom w:val="nil"/>
              <w:right w:val="nil"/>
            </w:tcBorders>
            <w:vAlign w:val="bottom"/>
          </w:tcPr>
          <w:p>
            <w:pPr>
              <w:pStyle w:val="Tabkrper09pt"/>
            </w:pPr>
            <w:r>
              <w:t>1. Januar</w:t>
            </w:r>
          </w:p>
        </w:tc>
        <w:tc>
          <w:tcPr>
            <w:tcW w:w="397" w:type="dxa"/>
            <w:tcBorders>
              <w:top w:val="nil"/>
              <w:left w:val="nil"/>
              <w:bottom w:val="nil"/>
              <w:right w:val="nil"/>
            </w:tcBorders>
            <w:vAlign w:val="bottom"/>
          </w:tcPr>
          <w:p>
            <w:pPr>
              <w:pStyle w:val="Tabkrper09pt"/>
            </w:pPr>
            <w:r>
              <w:t>2002</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Schweiz</w:t>
            </w:r>
          </w:p>
        </w:tc>
        <w:tc>
          <w:tcPr>
            <w:tcW w:w="1134" w:type="dxa"/>
            <w:tcBorders>
              <w:top w:val="nil"/>
              <w:left w:val="nil"/>
              <w:bottom w:val="nil"/>
              <w:right w:val="nil"/>
            </w:tcBorders>
            <w:vAlign w:val="bottom"/>
          </w:tcPr>
          <w:p>
            <w:pPr>
              <w:pStyle w:val="Tabkrper09pt"/>
            </w:pPr>
            <w:r>
              <w:t>24. Dezember</w:t>
            </w:r>
          </w:p>
        </w:tc>
        <w:tc>
          <w:tcPr>
            <w:tcW w:w="794" w:type="dxa"/>
            <w:tcBorders>
              <w:top w:val="nil"/>
              <w:left w:val="nil"/>
              <w:bottom w:val="nil"/>
              <w:right w:val="nil"/>
            </w:tcBorders>
            <w:vAlign w:val="bottom"/>
          </w:tcPr>
          <w:p>
            <w:pPr>
              <w:pStyle w:val="Tabkrper09pt"/>
            </w:pPr>
            <w:r>
              <w:t>2002</w:t>
            </w:r>
          </w:p>
        </w:tc>
        <w:tc>
          <w:tcPr>
            <w:tcW w:w="1134" w:type="dxa"/>
            <w:tcBorders>
              <w:top w:val="nil"/>
              <w:left w:val="nil"/>
              <w:bottom w:val="nil"/>
              <w:right w:val="nil"/>
            </w:tcBorders>
            <w:vAlign w:val="bottom"/>
          </w:tcPr>
          <w:p>
            <w:pPr>
              <w:pStyle w:val="Tabkrper09pt"/>
            </w:pPr>
            <w:r>
              <w:t>1. Januar</w:t>
            </w:r>
          </w:p>
        </w:tc>
        <w:tc>
          <w:tcPr>
            <w:tcW w:w="397" w:type="dxa"/>
            <w:tcBorders>
              <w:top w:val="nil"/>
              <w:left w:val="nil"/>
              <w:bottom w:val="nil"/>
              <w:right w:val="nil"/>
            </w:tcBorders>
            <w:vAlign w:val="bottom"/>
          </w:tcPr>
          <w:p>
            <w:pPr>
              <w:pStyle w:val="Tabkrper09pt"/>
            </w:pPr>
            <w:r>
              <w:t>2003</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Singapur</w:t>
            </w:r>
          </w:p>
        </w:tc>
        <w:tc>
          <w:tcPr>
            <w:tcW w:w="1134" w:type="dxa"/>
            <w:tcBorders>
              <w:top w:val="nil"/>
              <w:left w:val="nil"/>
              <w:bottom w:val="nil"/>
              <w:right w:val="nil"/>
            </w:tcBorders>
            <w:vAlign w:val="bottom"/>
          </w:tcPr>
          <w:p>
            <w:pPr>
              <w:pStyle w:val="Tabkrper09pt"/>
            </w:pPr>
            <w:r>
              <w:t>23. August</w:t>
            </w:r>
          </w:p>
        </w:tc>
        <w:tc>
          <w:tcPr>
            <w:tcW w:w="794" w:type="dxa"/>
            <w:tcBorders>
              <w:top w:val="nil"/>
              <w:left w:val="nil"/>
              <w:bottom w:val="nil"/>
              <w:right w:val="nil"/>
            </w:tcBorders>
            <w:vAlign w:val="bottom"/>
          </w:tcPr>
          <w:p>
            <w:pPr>
              <w:pStyle w:val="Tabkrper09pt"/>
            </w:pPr>
            <w:r>
              <w:t>2002</w:t>
            </w:r>
          </w:p>
        </w:tc>
        <w:tc>
          <w:tcPr>
            <w:tcW w:w="1134" w:type="dxa"/>
            <w:tcBorders>
              <w:top w:val="nil"/>
              <w:left w:val="nil"/>
              <w:bottom w:val="nil"/>
              <w:right w:val="nil"/>
            </w:tcBorders>
            <w:vAlign w:val="bottom"/>
          </w:tcPr>
          <w:p>
            <w:pPr>
              <w:pStyle w:val="Tabkrper09pt"/>
            </w:pPr>
            <w:r>
              <w:t>1. Januar</w:t>
            </w:r>
          </w:p>
        </w:tc>
        <w:tc>
          <w:tcPr>
            <w:tcW w:w="397" w:type="dxa"/>
            <w:tcBorders>
              <w:top w:val="nil"/>
              <w:left w:val="nil"/>
              <w:bottom w:val="nil"/>
              <w:right w:val="nil"/>
            </w:tcBorders>
            <w:vAlign w:val="bottom"/>
          </w:tcPr>
          <w:p>
            <w:pPr>
              <w:pStyle w:val="Tabkrper09pt"/>
            </w:pPr>
            <w:r>
              <w:t>2003</w:t>
            </w:r>
          </w:p>
        </w:tc>
      </w:tr>
      <w:tr>
        <w:tblPrEx>
          <w:tblW w:w="0" w:type="auto"/>
          <w:tblLayout w:type="fixed"/>
          <w:tblCellMar>
            <w:left w:w="0" w:type="dxa"/>
            <w:right w:w="0" w:type="dxa"/>
          </w:tblCellMar>
          <w:tblLook w:val="0000"/>
        </w:tblPrEx>
        <w:tc>
          <w:tcPr>
            <w:tcW w:w="2665" w:type="dxa"/>
            <w:tcBorders>
              <w:top w:val="nil"/>
              <w:left w:val="nil"/>
              <w:bottom w:val="single" w:sz="6" w:space="0" w:color="auto"/>
              <w:right w:val="nil"/>
            </w:tcBorders>
          </w:tcPr>
          <w:p>
            <w:pPr>
              <w:pStyle w:val="Tababstandnach"/>
            </w:pPr>
          </w:p>
        </w:tc>
        <w:tc>
          <w:tcPr>
            <w:tcW w:w="1134" w:type="dxa"/>
            <w:tcBorders>
              <w:top w:val="nil"/>
              <w:left w:val="nil"/>
              <w:bottom w:val="single" w:sz="6" w:space="0" w:color="auto"/>
              <w:right w:val="nil"/>
            </w:tcBorders>
            <w:vAlign w:val="bottom"/>
          </w:tcPr>
          <w:p>
            <w:pPr>
              <w:pStyle w:val="Tababstandnach"/>
            </w:pPr>
          </w:p>
        </w:tc>
        <w:tc>
          <w:tcPr>
            <w:tcW w:w="794" w:type="dxa"/>
            <w:tcBorders>
              <w:top w:val="nil"/>
              <w:left w:val="nil"/>
              <w:bottom w:val="single" w:sz="6" w:space="0" w:color="auto"/>
              <w:right w:val="nil"/>
            </w:tcBorders>
            <w:vAlign w:val="bottom"/>
          </w:tcPr>
          <w:p>
            <w:pPr>
              <w:pStyle w:val="Tababstandnach"/>
            </w:pPr>
          </w:p>
        </w:tc>
        <w:tc>
          <w:tcPr>
            <w:tcW w:w="1134" w:type="dxa"/>
            <w:tcBorders>
              <w:top w:val="nil"/>
              <w:left w:val="nil"/>
              <w:bottom w:val="single" w:sz="6" w:space="0" w:color="auto"/>
              <w:right w:val="nil"/>
            </w:tcBorders>
            <w:vAlign w:val="bottom"/>
          </w:tcPr>
          <w:p>
            <w:pPr>
              <w:pStyle w:val="Tababstandnach"/>
            </w:pPr>
          </w:p>
        </w:tc>
        <w:tc>
          <w:tcPr>
            <w:tcW w:w="397" w:type="dxa"/>
            <w:tcBorders>
              <w:top w:val="nil"/>
              <w:left w:val="nil"/>
              <w:bottom w:val="single" w:sz="6" w:space="0" w:color="auto"/>
              <w:right w:val="nil"/>
            </w:tcBorders>
            <w:vAlign w:val="bottom"/>
          </w:tcPr>
          <w:p>
            <w:pPr>
              <w:pStyle w:val="Tababstandnach"/>
            </w:pPr>
          </w:p>
        </w:tc>
      </w:tr>
    </w:tbl>
    <w:p>
      <w:pPr>
        <w:pStyle w:val="Absatz"/>
      </w:pPr>
    </w:p>
    <w:p>
      <w:pPr>
        <w:pStyle w:val="Abstand1Seite"/>
      </w:pPr>
    </w:p>
    <w:sectPr>
      <w:headerReference w:type="even" r:id="rId6"/>
      <w:headerReference w:type="default" r:id="rId7"/>
      <w:footerReference w:type="even" r:id="rId8"/>
      <w:footerReference w:type="default" r:id="rId9"/>
      <w:footerReference w:type="first" r:id="rId10"/>
      <w:pgSz w:w="8392" w:h="11907" w:code="11"/>
      <w:pgMar w:top="737" w:right="680" w:bottom="850" w:left="1588" w:header="680" w:footer="567" w:gutter="0"/>
      <w:cols w:space="709"/>
      <w:titlePg/>
      <w:docGrid w:linePitch="2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fldChar w:fldCharType="begin"/>
    </w:r>
    <w:r>
      <w:instrText>PAGE</w:instrText>
    </w:r>
    <w:r>
      <w:fldChar w:fldCharType="separate"/>
    </w:r>
    <w:r>
      <w:rPr>
        <w:noProof/>
      </w:rPr>
      <w:t>46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right"/>
    </w:pPr>
    <w:r>
      <w:fldChar w:fldCharType="begin"/>
    </w:r>
    <w:r>
      <w:instrText>PAGE</w:instrText>
    </w:r>
    <w:r>
      <w:fldChar w:fldCharType="separate"/>
    </w:r>
    <w:r>
      <w:rPr>
        <w:noProof/>
      </w:rPr>
      <w:t>45</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right"/>
    </w:pPr>
    <w:r>
      <w:fldChar w:fldCharType="begin"/>
    </w:r>
    <w:r>
      <w:instrText>PAGE</w:instrText>
    </w:r>
    <w:r>
      <w:fldChar w:fldCharType="separate"/>
    </w:r>
    <w:r>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jc w:val="left"/>
        <w:rPr>
          <w:sz w:val="4"/>
          <w:szCs w:val="4"/>
        </w:rPr>
      </w:pPr>
      <w:r>
        <w:rPr>
          <w:sz w:val="4"/>
          <w:szCs w:val="4"/>
        </w:rPr>
        <w:t> </w:t>
      </w:r>
    </w:p>
  </w:footnote>
  <w:footnote w:type="continuationSeparator" w:id="1">
    <w:p>
      <w:pPr>
        <w:jc w:val="left"/>
        <w:rPr>
          <w:sz w:val="4"/>
          <w:szCs w:val="4"/>
        </w:rPr>
      </w:pPr>
      <w:r>
        <w:rPr>
          <w:sz w:val="4"/>
          <w:szCs w:val="4"/>
        </w:rPr>
        <w:t> </w:t>
      </w:r>
    </w:p>
  </w:footnote>
  <w:footnote w:id="2">
    <w:p>
      <w:pPr>
        <w:pStyle w:val="AS-Fussnote"/>
      </w:pPr>
      <w:r>
        <w:t xml:space="preserve"> AS </w:t>
      </w:r>
      <w:r>
        <w:rPr>
          <w:b/>
        </w:rPr>
        <w:t xml:space="preserve">2003 </w:t>
      </w:r>
      <w:r>
        <w:t xml:space="preserve">2019; BBl </w:t>
      </w:r>
      <w:r>
        <w:rPr>
          <w:b/>
        </w:rPr>
        <w:t>2002</w:t>
      </w:r>
      <w:r>
        <w:t xml:space="preserve"> 6701</w:t>
      </w:r>
    </w:p>
  </w:footnote>
  <w:footnote w:id="3">
    <w:p>
      <w:pPr>
        <w:pStyle w:val="FootnoteText"/>
      </w:pPr>
      <w:r>
        <w:rPr>
          <w:rStyle w:val="FootnoteReference"/>
          <w:noProof w:val="0"/>
          <w:lang w:val="de-CH" w:eastAsia="de-DE"/>
        </w:rPr>
        <w:footnoteRef/>
      </w:r>
      <w:r>
        <w:tab/>
        <w:t xml:space="preserve">Art. 1 Abs. 1 Bst. a des BB vom 10. Dez. 2002 (AS </w:t>
      </w:r>
      <w:r>
        <w:rPr>
          <w:b/>
          <w:bCs/>
        </w:rPr>
        <w:t>2003</w:t>
      </w:r>
      <w:r>
        <w:t xml:space="preserve"> 2018)</w:t>
      </w:r>
    </w:p>
  </w:footnote>
  <w:footnote w:id="4">
    <w:p>
      <w:pPr>
        <w:pStyle w:val="FootnoteText"/>
      </w:pPr>
      <w:r>
        <w:rPr>
          <w:rStyle w:val="FootnoteReference"/>
          <w:noProof w:val="0"/>
          <w:lang w:val="de-CH" w:eastAsia="de-DE"/>
        </w:rPr>
        <w:footnoteRef/>
      </w:r>
      <w:r>
        <w:tab/>
        <w:t xml:space="preserve">SR </w:t>
      </w:r>
      <w:r>
        <w:rPr>
          <w:b/>
          <w:bCs/>
        </w:rPr>
        <w:t>0.120</w:t>
      </w:r>
    </w:p>
  </w:footnote>
  <w:footnote w:id="5">
    <w:p>
      <w:pPr>
        <w:pStyle w:val="FootnoteText"/>
      </w:pPr>
      <w:r>
        <w:rPr>
          <w:rStyle w:val="FootnoteReference"/>
          <w:noProof w:val="0"/>
          <w:lang w:val="de-CH" w:eastAsia="de-DE"/>
        </w:rPr>
        <w:footnoteRef/>
      </w:r>
      <w:r>
        <w:tab/>
        <w:t xml:space="preserve">SR </w:t>
      </w:r>
      <w:r>
        <w:rPr>
          <w:b/>
          <w:bCs/>
        </w:rPr>
        <w:t>0.632.20</w:t>
      </w:r>
    </w:p>
  </w:footnote>
  <w:footnote w:id="6">
    <w:p>
      <w:pPr>
        <w:pStyle w:val="FootnoteText"/>
      </w:pPr>
      <w:r>
        <w:rPr>
          <w:rStyle w:val="FootnoteReference"/>
          <w:noProof w:val="0"/>
          <w:lang w:val="de-CH" w:eastAsia="de-DE"/>
        </w:rPr>
        <w:footnoteRef/>
      </w:r>
      <w:r>
        <w:tab/>
        <w:t xml:space="preserve">SR </w:t>
      </w:r>
      <w:r>
        <w:rPr>
          <w:b/>
          <w:bCs/>
        </w:rPr>
        <w:t>0.632.20</w:t>
      </w:r>
      <w:r>
        <w:t xml:space="preserve"> Anhang 1A.1</w:t>
      </w:r>
    </w:p>
  </w:footnote>
  <w:footnote w:id="7">
    <w:p>
      <w:pPr>
        <w:pStyle w:val="FootnoteText"/>
      </w:pPr>
      <w:r>
        <w:rPr>
          <w:rStyle w:val="FootnoteReference"/>
          <w:noProof w:val="0"/>
          <w:lang w:val="de-CH" w:eastAsia="de-DE"/>
        </w:rPr>
        <w:footnoteRef/>
      </w:r>
      <w:r>
        <w:tab/>
        <w:t xml:space="preserve">SR </w:t>
      </w:r>
      <w:r>
        <w:rPr>
          <w:b/>
          <w:bCs/>
        </w:rPr>
        <w:t>0.632.20</w:t>
      </w:r>
      <w:r>
        <w:t xml:space="preserve"> Anhang 1.B</w:t>
      </w:r>
    </w:p>
  </w:footnote>
  <w:footnote w:id="8">
    <w:p>
      <w:pPr>
        <w:pStyle w:val="FootnoteText"/>
      </w:pPr>
      <w:r>
        <w:rPr>
          <w:rStyle w:val="FootnoteReference"/>
          <w:noProof w:val="0"/>
          <w:lang w:val="de-CH" w:eastAsia="de-DE"/>
        </w:rPr>
        <w:footnoteRef/>
      </w:r>
      <w:r>
        <w:tab/>
      </w:r>
      <w:bookmarkStart w:id="2" w:name="_Hlt31433432"/>
      <w:bookmarkEnd w:id="2"/>
      <w:r>
        <w:t xml:space="preserve">SR </w:t>
      </w:r>
      <w:r>
        <w:rPr>
          <w:b/>
          <w:bCs/>
        </w:rPr>
        <w:t>0.631.112.514</w:t>
      </w:r>
    </w:p>
  </w:footnote>
  <w:footnote w:id="9">
    <w:p>
      <w:pPr>
        <w:pStyle w:val="FootnoteText"/>
      </w:pPr>
      <w:r>
        <w:rPr>
          <w:rStyle w:val="FootnoteReference"/>
          <w:noProof w:val="0"/>
          <w:lang w:val="de-CH" w:eastAsia="de-DE"/>
        </w:rPr>
        <w:footnoteRef/>
      </w:r>
      <w:r>
        <w:tab/>
        <w:t xml:space="preserve">SR </w:t>
      </w:r>
      <w:r>
        <w:rPr>
          <w:b/>
          <w:bCs/>
        </w:rPr>
        <w:t>0.632.11</w:t>
      </w:r>
    </w:p>
  </w:footnote>
  <w:footnote w:id="10">
    <w:p>
      <w:pPr>
        <w:pStyle w:val="FootnoteText"/>
      </w:pPr>
      <w:r>
        <w:rPr>
          <w:rStyle w:val="FootnoteReference"/>
          <w:noProof w:val="0"/>
          <w:lang w:val="de-CH" w:eastAsia="de-DE"/>
        </w:rPr>
        <w:footnoteRef/>
      </w:r>
      <w:r>
        <w:tab/>
        <w:t xml:space="preserve">SR </w:t>
      </w:r>
      <w:r>
        <w:rPr>
          <w:b/>
          <w:bCs/>
        </w:rPr>
        <w:t>0.632.20</w:t>
      </w:r>
      <w:r>
        <w:t xml:space="preserve"> Anhang 1A.4</w:t>
      </w:r>
    </w:p>
  </w:footnote>
  <w:footnote w:id="11">
    <w:p>
      <w:pPr>
        <w:pStyle w:val="FootnoteText"/>
      </w:pPr>
      <w:r>
        <w:rPr>
          <w:rStyle w:val="FootnoteReference"/>
          <w:noProof w:val="0"/>
          <w:lang w:val="de-CH" w:eastAsia="de-DE"/>
        </w:rPr>
        <w:footnoteRef/>
      </w:r>
      <w:r>
        <w:tab/>
        <w:t xml:space="preserve">SR </w:t>
      </w:r>
      <w:r>
        <w:rPr>
          <w:b/>
          <w:bCs/>
        </w:rPr>
        <w:t>0.632.20</w:t>
      </w:r>
      <w:r>
        <w:t xml:space="preserve"> Anhang 1A.6</w:t>
      </w:r>
    </w:p>
  </w:footnote>
  <w:footnote w:id="12">
    <w:p>
      <w:pPr>
        <w:pStyle w:val="FootnoteText"/>
      </w:pPr>
      <w:r>
        <w:rPr>
          <w:rStyle w:val="FootnoteReference"/>
          <w:noProof w:val="0"/>
          <w:lang w:val="de-CH" w:eastAsia="de-DE"/>
        </w:rPr>
        <w:footnoteRef/>
      </w:r>
      <w:r>
        <w:tab/>
        <w:t xml:space="preserve">SR </w:t>
      </w:r>
      <w:r>
        <w:rPr>
          <w:b/>
          <w:bCs/>
        </w:rPr>
        <w:t>0.632.20</w:t>
      </w:r>
      <w:r>
        <w:t xml:space="preserve"> Anhang 1A.1.b</w:t>
      </w:r>
    </w:p>
  </w:footnote>
  <w:footnote w:id="13">
    <w:p>
      <w:pPr>
        <w:pStyle w:val="FootnoteText"/>
      </w:pPr>
      <w:r>
        <w:rPr>
          <w:rStyle w:val="FootnoteReference"/>
          <w:noProof w:val="0"/>
          <w:lang w:val="de-CH" w:eastAsia="de-DE"/>
        </w:rPr>
        <w:footnoteRef/>
      </w:r>
      <w:r>
        <w:tab/>
        <w:t xml:space="preserve">SR </w:t>
      </w:r>
      <w:r>
        <w:rPr>
          <w:b/>
          <w:bCs/>
        </w:rPr>
        <w:t>0.632.20</w:t>
      </w:r>
      <w:r>
        <w:t xml:space="preserve"> Anhang 1A.13</w:t>
      </w:r>
    </w:p>
  </w:footnote>
  <w:footnote w:id="14">
    <w:p>
      <w:pPr>
        <w:pStyle w:val="FootnoteText"/>
      </w:pPr>
      <w:r>
        <w:rPr>
          <w:rStyle w:val="FootnoteReference"/>
          <w:noProof w:val="0"/>
          <w:lang w:val="de-CH" w:eastAsia="de-DE"/>
        </w:rPr>
        <w:footnoteRef/>
      </w:r>
      <w:r>
        <w:tab/>
        <w:t xml:space="preserve">SR </w:t>
      </w:r>
      <w:r>
        <w:rPr>
          <w:b/>
          <w:bCs/>
        </w:rPr>
        <w:t>0.632.20</w:t>
      </w:r>
      <w:r>
        <w:t xml:space="preserve"> Anhang 1A.3</w:t>
      </w:r>
    </w:p>
  </w:footnote>
  <w:footnote w:id="15">
    <w:p>
      <w:pPr>
        <w:pStyle w:val="FootnoteText"/>
      </w:pPr>
      <w:r>
        <w:rPr>
          <w:rStyle w:val="FootnoteReference"/>
          <w:noProof w:val="0"/>
          <w:lang w:val="de-CH" w:eastAsia="de-DE"/>
        </w:rPr>
        <w:footnoteRef/>
      </w:r>
      <w:r>
        <w:tab/>
        <w:t xml:space="preserve">SR </w:t>
      </w:r>
      <w:r>
        <w:rPr>
          <w:b/>
          <w:bCs/>
        </w:rPr>
        <w:t xml:space="preserve">0.632.20 </w:t>
      </w:r>
      <w:r>
        <w:t>Anhang 1A.8</w:t>
      </w:r>
    </w:p>
  </w:footnote>
  <w:footnote w:id="16">
    <w:p>
      <w:pPr>
        <w:pStyle w:val="FootnoteText"/>
      </w:pPr>
      <w:r>
        <w:rPr>
          <w:rStyle w:val="FootnoteReference"/>
          <w:noProof w:val="0"/>
          <w:lang w:val="de-CH" w:eastAsia="de-DE"/>
        </w:rPr>
        <w:footnoteRef/>
      </w:r>
      <w:r>
        <w:tab/>
        <w:t xml:space="preserve">SR </w:t>
      </w:r>
      <w:r>
        <w:rPr>
          <w:b/>
          <w:bCs/>
        </w:rPr>
        <w:t>0.632.20</w:t>
      </w:r>
      <w:r>
        <w:t xml:space="preserve"> Anhang 1A.14</w:t>
      </w:r>
    </w:p>
  </w:footnote>
  <w:footnote w:id="17">
    <w:p>
      <w:pPr>
        <w:pStyle w:val="FootnoteText"/>
      </w:pPr>
      <w:r>
        <w:rPr>
          <w:rStyle w:val="FootnoteReference"/>
          <w:noProof w:val="0"/>
          <w:lang w:val="de-CH" w:eastAsia="de-DE"/>
        </w:rPr>
        <w:footnoteRef/>
      </w:r>
      <w:r>
        <w:tab/>
        <w:t xml:space="preserve">SR </w:t>
      </w:r>
      <w:r>
        <w:rPr>
          <w:b/>
          <w:bCs/>
        </w:rPr>
        <w:t>0.632.20</w:t>
      </w:r>
      <w:r>
        <w:t xml:space="preserve"> Anhang 1A.1.c</w:t>
      </w:r>
    </w:p>
  </w:footnote>
  <w:footnote w:id="18">
    <w:p>
      <w:pPr>
        <w:pStyle w:val="FootnoteText"/>
        <w:rPr>
          <w:lang w:eastAsia="de-CH"/>
        </w:rPr>
      </w:pPr>
      <w:r>
        <w:rPr>
          <w:rStyle w:val="FootnoteReference"/>
          <w:noProof w:val="0"/>
          <w:lang w:val="de-CH" w:eastAsia="de-DE"/>
        </w:rPr>
        <w:footnoteRef/>
      </w:r>
      <w:r>
        <w:tab/>
      </w:r>
      <w:r>
        <w:rPr>
          <w:lang w:eastAsia="de-CH"/>
        </w:rPr>
        <w:t>Die Begriffsbestimmungen in Absatz 6 des GATS-Anhangs über Luftverkehrsdienst</w:t>
      </w:r>
      <w:r>
        <w:rPr>
          <w:lang w:eastAsia="de-CH"/>
        </w:rPr>
        <w:softHyphen/>
        <w:t>leistungen werden hiermit zu Bestandteilen dieses Kapitels erklärt.</w:t>
      </w:r>
    </w:p>
  </w:footnote>
  <w:footnote w:id="19">
    <w:p>
      <w:pPr>
        <w:pStyle w:val="FootnoteText"/>
      </w:pPr>
      <w:r>
        <w:rPr>
          <w:rStyle w:val="FootnoteReference"/>
          <w:noProof w:val="0"/>
          <w:lang w:val="de-CH" w:eastAsia="de-DE"/>
        </w:rPr>
        <w:footnoteRef/>
      </w:r>
      <w:r>
        <w:tab/>
        <w:t xml:space="preserve">Fassung gemäss Beschluss Nr. 1/2011 des Gemischten Ausschusses EFTA-Singapur vom 23. Nov. 2011, in Kraft getreten für die Schweiz am 1. Sept. 2021 (AS </w:t>
      </w:r>
      <w:r>
        <w:rPr>
          <w:b/>
        </w:rPr>
        <w:t>2021</w:t>
      </w:r>
      <w:r>
        <w:t xml:space="preserve"> 470).</w:t>
      </w:r>
    </w:p>
  </w:footnote>
  <w:footnote w:id="20">
    <w:p>
      <w:pPr>
        <w:pStyle w:val="FootnoteText"/>
      </w:pPr>
      <w:r>
        <w:rPr>
          <w:rStyle w:val="FootnoteReference"/>
          <w:noProof w:val="0"/>
          <w:lang w:val="de-CH" w:eastAsia="de-DE"/>
        </w:rPr>
        <w:footnoteRef/>
      </w:r>
      <w:r>
        <w:tab/>
        <w:t xml:space="preserve">Wird eine Dienstleistung nicht unmittelbar durch eine juristische Person, sondern durch andere Formen der gewerblichen Niederlassung wie zum Beispiel eine Zweigstelle oder eine Vertretung erbracht, so erhält der Dienstleistungserbringer (d. h. die juristische </w:t>
        <w:br/>
        <w:t>Person) durch eine solche Niederlassung dennoch die Behandlung, die den Dienst</w:t>
      </w:r>
      <w:r>
        <w:softHyphen/>
        <w:t xml:space="preserve">leistungserbringern im Rahmen dieses Abkommens gewährt wird. Eine solche </w:t>
        <w:br/>
        <w:t>Behan</w:t>
      </w:r>
      <w:r>
        <w:t>d</w:t>
      </w:r>
      <w:r>
        <w:t xml:space="preserve">lung wird der Niederlassung zuteil, durch welche die Dienstleistung erbracht wird; sie braucht sonstigen Betriebsteilen des Erbringers, die ausserhalb des Hoheitsgebiets </w:t>
        <w:br/>
        <w:t>ansä</w:t>
      </w:r>
      <w:r>
        <w:t>s</w:t>
      </w:r>
      <w:r>
        <w:t>sig sind, in dem die Dienstleistung erbracht wird, nicht gewährt zu werden.</w:t>
      </w:r>
    </w:p>
  </w:footnote>
  <w:footnote w:id="21">
    <w:p>
      <w:pPr>
        <w:pStyle w:val="FootnoteText"/>
      </w:pPr>
      <w:r>
        <w:rPr>
          <w:rStyle w:val="FootnoteReference"/>
          <w:noProof w:val="0"/>
          <w:lang w:val="de-CH" w:eastAsia="de-DE"/>
        </w:rPr>
        <w:footnoteRef/>
      </w:r>
      <w:r>
        <w:tab/>
        <w:t>Dies schliesst auch juristische Personen ein, welche die Absicht haben, in erheblichem Umfang Geschäfte zu tätigen, wie etwa Start-up-Unternehmen.</w:t>
      </w:r>
    </w:p>
  </w:footnote>
  <w:footnote w:id="22">
    <w:p>
      <w:pPr>
        <w:pStyle w:val="FootnoteText"/>
      </w:pPr>
      <w:r>
        <w:rPr>
          <w:rStyle w:val="FootnoteReference"/>
          <w:noProof w:val="0"/>
          <w:lang w:val="de-CH" w:eastAsia="de-DE"/>
        </w:rPr>
        <w:footnoteRef/>
      </w:r>
      <w:r>
        <w:tab/>
        <w:t>Geht eine Vertragspartei eine Marktzugangsverpflichtung in Bezug auf die Erbringung einer Dienstleistung durch die in Art. 22 Bst. (o) Ziff. (i) genannte Erbringungsart ein und stellt der grenzüberschreitende Kapitalverkehr einen wesentlichen Teil der Diens</w:t>
      </w:r>
      <w:r>
        <w:t>t</w:t>
      </w:r>
      <w:r>
        <w:t xml:space="preserve">leistung selbst dar, so ist die Vertragspartei dadurch verpflichtet, diesen Kapitalverkehr </w:t>
        <w:br/>
        <w:t xml:space="preserve">zuzulassen. Geht eine Vertragspartei eine Marktzugangsverpflichtung in Bezug auf die Erbringung einer Dienstleistung durch die in Art. 22 Bst. (o) Ziff. (iii) genannte </w:t>
        <w:br/>
        <w:t xml:space="preserve">Erbringungsart ein, so ist die Vertragspartei dadurch verpflichtet, entsprechende </w:t>
        <w:br/>
        <w:t>Vermögensübertragu</w:t>
      </w:r>
      <w:r>
        <w:t>n</w:t>
      </w:r>
      <w:r>
        <w:t>gen in ihr Hoheitsgebiet zuzulassen.</w:t>
      </w:r>
    </w:p>
  </w:footnote>
  <w:footnote w:id="23">
    <w:p>
      <w:pPr>
        <w:pStyle w:val="FootnoteText"/>
      </w:pPr>
      <w:r>
        <w:rPr>
          <w:rStyle w:val="FootnoteReference"/>
          <w:noProof w:val="0"/>
          <w:lang w:val="de-CH" w:eastAsia="de-DE"/>
        </w:rPr>
        <w:footnoteRef/>
      </w:r>
      <w:r>
        <w:tab/>
        <w:t>Abs. 2 Bst. (c) gilt nicht für Massnahmen einer Vertragspartei, die Vorleistungen für die Erbringung von Dienstleistungen beschränken.</w:t>
      </w:r>
    </w:p>
  </w:footnote>
  <w:footnote w:id="24">
    <w:p>
      <w:pPr>
        <w:pStyle w:val="FootnoteText"/>
        <w:widowControl w:val="0"/>
      </w:pPr>
      <w:r>
        <w:rPr>
          <w:rStyle w:val="FootnoteReference"/>
          <w:noProof w:val="0"/>
          <w:lang w:val="de-CH" w:eastAsia="de-DE"/>
        </w:rPr>
        <w:footnoteRef/>
      </w:r>
      <w:r>
        <w:tab/>
        <w:t>Besondere Verpflichtungen, die nach diesem Artikel eingegangen worden sind, werden nicht so ausgelegt, dass eine Vertragspartei einen Ausgleich für allfällige inhärente Wet</w:t>
      </w:r>
      <w:r>
        <w:t>t</w:t>
      </w:r>
      <w:r>
        <w:t>bewerbsnachteile gewähren muss, die sich daraus ergeben, dass die betreffenden Diens</w:t>
      </w:r>
      <w:r>
        <w:t>t</w:t>
      </w:r>
      <w:r>
        <w:t>leistungen oder Dienstleistungserbringer auswärtiger Natur sind.</w:t>
      </w:r>
    </w:p>
  </w:footnote>
  <w:footnote w:id="25">
    <w:p>
      <w:pPr>
        <w:pStyle w:val="FootnoteText"/>
      </w:pPr>
      <w:r>
        <w:rPr>
          <w:rStyle w:val="FootnoteReference"/>
          <w:noProof w:val="0"/>
          <w:lang w:val="de-CH" w:eastAsia="de-DE"/>
        </w:rPr>
        <w:footnoteRef/>
      </w:r>
      <w:r>
        <w:tab/>
        <w:t>Der Begriff «entsprechende internationale Organisationen» bezieht sich auf internationale Gremien, denen die entsprechenden Organe der Vertragsparteien angehören können.</w:t>
      </w:r>
    </w:p>
  </w:footnote>
  <w:footnote w:id="26">
    <w:p>
      <w:pPr>
        <w:pStyle w:val="FootnoteText"/>
      </w:pPr>
      <w:r>
        <w:rPr>
          <w:rStyle w:val="FootnoteReference"/>
          <w:noProof w:val="0"/>
          <w:lang w:val="de-CH" w:eastAsia="de-DE"/>
        </w:rPr>
        <w:footnoteRef/>
      </w:r>
      <w:r>
        <w:tab/>
        <w:t>Die blosse Tatsache, dass für natürliche Personen bestimmter Nationalitäten im Gege</w:t>
      </w:r>
      <w:r>
        <w:t>n</w:t>
      </w:r>
      <w:r>
        <w:t xml:space="preserve">satz zu natürlichen Personen anderer Nationalitäten ein Visum gefordert wird, wird nicht als Zunichtemachen oder Schmälern von Vorteilen auf Grund einer spezifischen </w:t>
        <w:br/>
        <w:t>Ve</w:t>
      </w:r>
      <w:r>
        <w:t>r</w:t>
      </w:r>
      <w:r>
        <w:t>pflichtung betrachtet.</w:t>
      </w:r>
    </w:p>
  </w:footnote>
  <w:footnote w:id="27">
    <w:p>
      <w:pPr>
        <w:pStyle w:val="FootnoteText"/>
      </w:pPr>
      <w:r>
        <w:rPr>
          <w:rStyle w:val="FootnoteReference"/>
          <w:noProof w:val="0"/>
          <w:lang w:val="de-CH" w:eastAsia="de-DE"/>
        </w:rPr>
        <w:footnoteRef/>
      </w:r>
      <w:r>
        <w:tab/>
        <w:t>Die Ausnahmeregelung in Bezug auf die öffentliche Ordnung kann nur in Anspruch g</w:t>
      </w:r>
      <w:r>
        <w:t>e</w:t>
      </w:r>
      <w:r>
        <w:t>nommen werden, wenn eine tatsächliche, ausreichend schwerwiegende Bedrohung der Grundwerte der Gesellschaft vorliegt.</w:t>
      </w:r>
    </w:p>
  </w:footnote>
  <w:footnote w:id="28">
    <w:p>
      <w:pPr>
        <w:pStyle w:val="FootnoteText"/>
        <w:rPr>
          <w:snapToGrid w:val="0"/>
          <w:lang w:val="it-CH"/>
        </w:rPr>
      </w:pPr>
      <w:r>
        <w:rPr>
          <w:rStyle w:val="FootnoteReference"/>
          <w:noProof w:val="0"/>
          <w:lang w:val="de-CH" w:eastAsia="de-DE"/>
        </w:rPr>
        <w:footnoteRef/>
      </w:r>
      <w:r>
        <w:tab/>
        <w:t>Massnahmen, die auf eine gerechte oder tatsächlich wirksame Festsetzung oder Erhebung direkter Steuern abzielen, umfassen Massnahmen einer Vertragspartei im Rahmen ihres Steuersystems, die:</w:t>
      </w:r>
    </w:p>
    <w:p>
      <w:pPr>
        <w:pStyle w:val="FootnoteText"/>
        <w:ind w:left="709"/>
        <w:rPr>
          <w:snapToGrid w:val="0"/>
          <w:lang w:val="it-CH"/>
        </w:rPr>
      </w:pPr>
      <w:r>
        <w:rPr>
          <w:snapToGrid w:val="0"/>
          <w:lang w:val="it-CH"/>
        </w:rPr>
        <w:t>(i)</w:t>
        <w:tab/>
      </w:r>
      <w:r>
        <w:t>für gebietsfremde Dienstleistungserbringer in Anerkennung der Tatsache gelten, dass sich die Steuerpflicht Gebietsfremder nach den Steuerobjekten richtet, die im Hoheitsgebiet der Vertragspartei ihren Ursprung haben oder dort gelegen sind, oder</w:t>
      </w:r>
    </w:p>
    <w:p>
      <w:pPr>
        <w:pStyle w:val="FootnoteText"/>
        <w:ind w:left="709"/>
        <w:rPr>
          <w:snapToGrid w:val="0"/>
          <w:lang w:val="it-CH"/>
        </w:rPr>
      </w:pPr>
      <w:r>
        <w:rPr>
          <w:snapToGrid w:val="0"/>
          <w:lang w:val="it-CH"/>
        </w:rPr>
        <w:t>(ii)</w:t>
        <w:tab/>
      </w:r>
      <w:r>
        <w:t>für Gebietsfremde gelten, um die Festsetzung oder die Erhebung von Steuern im Hoheitsgebiet der Vertragspartei zu gewährleisten, oder</w:t>
      </w:r>
    </w:p>
    <w:p>
      <w:pPr>
        <w:pStyle w:val="FootnoteText"/>
        <w:ind w:left="709"/>
        <w:rPr>
          <w:snapToGrid w:val="0"/>
          <w:lang w:val="it-CH"/>
        </w:rPr>
      </w:pPr>
      <w:r>
        <w:rPr>
          <w:snapToGrid w:val="0"/>
          <w:lang w:val="it-CH"/>
        </w:rPr>
        <w:t>(iii)</w:t>
        <w:tab/>
      </w:r>
      <w:r>
        <w:t xml:space="preserve">für Gebietsfremde oder Gebietsansässige gelten, um Steuervermeidung oder </w:t>
      </w:r>
      <w:r>
        <w:noBreakHyphen/>
        <w:t>hinterziehung zu verhindern, einschliesslich Massnahmen, welche die Einhaltung der Rechtsvorschriften gewährleisten, oder</w:t>
      </w:r>
    </w:p>
    <w:p>
      <w:pPr>
        <w:pStyle w:val="FootnoteText"/>
        <w:ind w:left="709"/>
        <w:rPr>
          <w:snapToGrid w:val="0"/>
          <w:lang w:val="it-CH"/>
        </w:rPr>
      </w:pPr>
      <w:r>
        <w:rPr>
          <w:snapToGrid w:val="0"/>
          <w:lang w:val="it-CH"/>
        </w:rPr>
        <w:t>(iv)</w:t>
        <w:tab/>
      </w:r>
      <w:r>
        <w:t>für Nutzer von Dienstleistungen gelten, die in oder von dem Hoheitsgebiet einer a</w:t>
      </w:r>
      <w:r>
        <w:t>n</w:t>
      </w:r>
      <w:r>
        <w:t xml:space="preserve">deren Vertragspartei aus erbracht werden, um die Besteuerung der Nutzer oder die Erhebung von Steuern aus Quellen im Hoheitsgebiet der Vertragspartei zu </w:t>
        <w:br/>
        <w:t>gewäh</w:t>
      </w:r>
      <w:r>
        <w:t>r</w:t>
      </w:r>
      <w:r>
        <w:t>leisten, oder</w:t>
      </w:r>
    </w:p>
    <w:p>
      <w:pPr>
        <w:pStyle w:val="FootnoteText"/>
        <w:ind w:left="709"/>
        <w:rPr>
          <w:snapToGrid w:val="0"/>
          <w:lang w:val="it-CH"/>
        </w:rPr>
      </w:pPr>
      <w:r>
        <w:rPr>
          <w:snapToGrid w:val="0"/>
          <w:lang w:val="it-CH"/>
        </w:rPr>
        <w:t>(v)</w:t>
        <w:tab/>
      </w:r>
      <w:r>
        <w:t>unterscheiden zwischen Dienstleistungserbringern, die hinsichtlich weltweiter Besteuerungsgrundlagen der Steuer unterliegen, und anderen Dienstleistungs</w:t>
      </w:r>
      <w:r>
        <w:softHyphen/>
        <w:t>erbringern, in Anerkennung des Unterschiedes in der Art der Steuerbemessung</w:t>
      </w:r>
      <w:r>
        <w:t>s</w:t>
      </w:r>
      <w:r>
        <w:t>grundlage zwischen beiden, oder</w:t>
      </w:r>
    </w:p>
    <w:p>
      <w:pPr>
        <w:pStyle w:val="FootnoteText"/>
        <w:ind w:left="709"/>
        <w:rPr>
          <w:snapToGrid w:val="0"/>
          <w:lang w:val="it-CH"/>
        </w:rPr>
      </w:pPr>
      <w:r>
        <w:rPr>
          <w:snapToGrid w:val="0"/>
        </w:rPr>
        <w:t>(</w:t>
      </w:r>
      <w:r>
        <w:rPr>
          <w:snapToGrid w:val="0"/>
          <w:lang w:val="it-CH"/>
        </w:rPr>
        <w:t xml:space="preserve">vi) </w:t>
        <w:tab/>
      </w:r>
      <w:r>
        <w:t>dazu dienen, Einkommen, Gewinn, Wertzuwachs, Verlust, Abzüge oder anreche</w:t>
      </w:r>
      <w:r>
        <w:t>n</w:t>
      </w:r>
      <w:r>
        <w:t xml:space="preserve">bare Beträge in Bezug auf gebietsansässige Personen oder Zweigstellen oder </w:t>
        <w:br/>
        <w:t xml:space="preserve">verbundene Personen oder Zweigstellen derselben Person zu ermitteln, zuzuordnen </w:t>
      </w:r>
      <w:r>
        <w:t>o</w:t>
      </w:r>
      <w:r>
        <w:t xml:space="preserve">der aufzuteilen, um die Steuerbemessungsgrundlage der Vertragspartei zu sichern. </w:t>
      </w:r>
      <w:r>
        <w:rPr>
          <w:snapToGrid w:val="0"/>
        </w:rPr>
        <w:br/>
      </w:r>
      <w:r>
        <w:t xml:space="preserve">Die steuerlichen Bestimmungen oder Begriffe in Art. 33 Bst. (d) und in dieser Fussnote werden in Übereinstimmung mit den steuerlichen Definitionen und </w:t>
        <w:br/>
        <w:t xml:space="preserve">Begriffen des innerstaatlichen Rechts oder gleichwertigen oder ähnlichen </w:t>
        <w:br/>
        <w:t xml:space="preserve">Definitionen und Begriffen der Vertragspartei, welche die Massnahme trifft, </w:t>
        <w:br/>
        <w:t>ausg</w:t>
      </w:r>
      <w:r>
        <w:t>e</w:t>
      </w:r>
      <w:r>
        <w:t>legt.</w:t>
      </w:r>
    </w:p>
    <w:p>
      <w:pPr>
        <w:pStyle w:val="Abstand4pt"/>
      </w:pPr>
    </w:p>
  </w:footnote>
  <w:footnote w:id="29">
    <w:p>
      <w:pPr>
        <w:pStyle w:val="FootnoteText"/>
      </w:pPr>
      <w:r>
        <w:rPr>
          <w:rStyle w:val="FootnoteReference"/>
          <w:noProof w:val="0"/>
          <w:lang w:val="de-CH" w:eastAsia="de-DE"/>
        </w:rPr>
        <w:footnoteRef/>
      </w:r>
      <w:r>
        <w:tab/>
        <w:t xml:space="preserve">Fussnote 26 zu Art. 33 von Kap. III über Dienstleistungen ist auf dieses Kapitel </w:t>
        <w:br/>
        <w:t>sinng</w:t>
      </w:r>
      <w:r>
        <w:t>e</w:t>
      </w:r>
      <w:r>
        <w:t>mäss anwendbar.</w:t>
      </w:r>
    </w:p>
  </w:footnote>
  <w:footnote w:id="30">
    <w:p>
      <w:pPr>
        <w:pStyle w:val="FootnoteText"/>
      </w:pPr>
      <w:r>
        <w:rPr>
          <w:rStyle w:val="FootnoteReference"/>
          <w:noProof w:val="0"/>
          <w:lang w:val="de-CH" w:eastAsia="de-DE"/>
        </w:rPr>
        <w:footnoteRef/>
      </w:r>
      <w:r>
        <w:tab/>
        <w:t xml:space="preserve">SR </w:t>
      </w:r>
      <w:r>
        <w:rPr>
          <w:b/>
          <w:bCs/>
        </w:rPr>
        <w:t>0.975.2</w:t>
      </w:r>
    </w:p>
  </w:footnote>
  <w:footnote w:id="31">
    <w:p>
      <w:pPr>
        <w:pStyle w:val="FootnoteText"/>
      </w:pPr>
      <w:r>
        <w:rPr>
          <w:rStyle w:val="FootnoteReference"/>
          <w:noProof w:val="0"/>
          <w:lang w:val="de-CH" w:eastAsia="de-DE"/>
        </w:rPr>
        <w:footnoteRef/>
      </w:r>
      <w:r>
        <w:tab/>
        <w:t xml:space="preserve">SR </w:t>
      </w:r>
      <w:r>
        <w:rPr>
          <w:b/>
          <w:bCs/>
        </w:rPr>
        <w:t>0.632.231.422</w:t>
      </w:r>
    </w:p>
  </w:footnote>
  <w:footnote w:id="32">
    <w:p>
      <w:pPr>
        <w:pStyle w:val="FootnoteText"/>
      </w:pPr>
      <w:r>
        <w:rPr>
          <w:rStyle w:val="FootnoteReference"/>
          <w:noProof w:val="0"/>
          <w:lang w:val="de-CH" w:eastAsia="de-DE"/>
        </w:rPr>
        <w:footnoteRef/>
      </w:r>
      <w:r>
        <w:tab/>
        <w:t xml:space="preserve">SR </w:t>
      </w:r>
      <w:r>
        <w:rPr>
          <w:b/>
          <w:bCs/>
        </w:rPr>
        <w:t>0.632.20</w:t>
      </w:r>
      <w:r>
        <w:t xml:space="preserve"> Anhang 1.C</w:t>
      </w:r>
    </w:p>
  </w:footnote>
  <w:footnote w:id="33">
    <w:p>
      <w:pPr>
        <w:pStyle w:val="FootnoteText"/>
      </w:pPr>
      <w:r>
        <w:rPr>
          <w:rStyle w:val="FootnoteReference"/>
          <w:noProof w:val="0"/>
          <w:lang w:val="de-CH" w:eastAsia="de-DE"/>
        </w:rPr>
        <w:footnoteRef/>
      </w:r>
      <w:r>
        <w:tab/>
        <w:t>Das Wort «solche» bezieht sich auf «eine von der Vertragspartei oder den Vertrags</w:t>
      </w:r>
      <w:r>
        <w:softHyphen/>
        <w:t>parte</w:t>
      </w:r>
      <w:r>
        <w:t>i</w:t>
      </w:r>
      <w:r>
        <w:t>en, an die der Antrag gestellt wird, angewendete Massnahme».</w:t>
      </w:r>
    </w:p>
  </w:footnote>
  <w:footnote w:id="34">
    <w:p>
      <w:pPr>
        <w:pStyle w:val="FootnoteText"/>
      </w:pPr>
      <w:r>
        <w:rPr>
          <w:rStyle w:val="FootnoteReference"/>
          <w:noProof w:val="0"/>
          <w:lang w:val="de-CH" w:eastAsia="de-DE"/>
        </w:rPr>
        <w:footnoteRef/>
      </w:r>
      <w:r>
        <w:tab/>
        <w:t xml:space="preserve">SR </w:t>
      </w:r>
      <w:r>
        <w:rPr>
          <w:b/>
          <w:bCs/>
        </w:rPr>
        <w:t xml:space="preserve">0.632.20 </w:t>
      </w:r>
      <w:r>
        <w:t>Anhang 2</w:t>
      </w:r>
    </w:p>
  </w:footnote>
  <w:footnote w:id="35">
    <w:p>
      <w:pPr>
        <w:pStyle w:val="FootnoteText"/>
      </w:pPr>
      <w:r>
        <w:rPr>
          <w:rStyle w:val="FootnoteReference"/>
          <w:noProof w:val="0"/>
          <w:lang w:val="de-CH" w:eastAsia="de-DE"/>
        </w:rPr>
        <w:footnoteRef/>
      </w:r>
      <w:r>
        <w:t xml:space="preserve"> </w:t>
        <w:tab/>
        <w:t xml:space="preserve">Diese Dokumente (teilweise publiziert in AS </w:t>
      </w:r>
      <w:r>
        <w:rPr>
          <w:b/>
        </w:rPr>
        <w:t xml:space="preserve">2003 </w:t>
      </w:r>
      <w:r>
        <w:t>2019) werden (mit Ausnahme des Ver</w:t>
      </w:r>
      <w:r>
        <w:softHyphen/>
        <w:t>ständigungs</w:t>
      </w:r>
      <w:r>
        <w:softHyphen/>
        <w:t xml:space="preserve">protokolls) weder in der AS noch der SR veröffentlicht (siehe AS </w:t>
      </w:r>
      <w:r>
        <w:rPr>
          <w:b/>
        </w:rPr>
        <w:t>2010</w:t>
      </w:r>
      <w:r>
        <w:t xml:space="preserve"> 5433, </w:t>
      </w:r>
      <w:r>
        <w:rPr>
          <w:b/>
        </w:rPr>
        <w:t>2012</w:t>
      </w:r>
      <w:r>
        <w:t xml:space="preserve"> 1151). Sie sind nur in englischer Originalsprache ver</w:t>
      </w:r>
      <w:r>
        <w:softHyphen/>
        <w:t xml:space="preserve">fügbar und können eingesehen werden auf der Internetseite der EFTA unter folgender Adresse: </w:t>
        <w:br/>
        <w:t>www.efta.int/free-trade/free-trade-agreements/singapore/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KopfzeileSR"/>
    </w:pPr>
    <w:r>
      <w:fldChar w:fldCharType="begin"/>
    </w:r>
    <w:r>
      <w:instrText xml:space="preserve">REF SR_Nummer \h \* MERGEFORMAT </w:instrText>
    </w:r>
    <w:r>
      <w:fldChar w:fldCharType="separate"/>
    </w:r>
    <w:r>
      <w:rPr>
        <w:noProof/>
        <w:color w:val="000000"/>
      </w:rPr>
      <w:t>0.632.316.891.1</w:t>
    </w:r>
    <w:r>
      <w:fldChar w:fldCharType="end"/>
    </w:r>
  </w:p>
  <w:p>
    <w:pPr>
      <w:pStyle w:val="Header"/>
      <w:jc w:val="right"/>
    </w:pPr>
    <w:r>
      <w:t>Zolltarife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KopfzeileSR"/>
    </w:pPr>
    <w:r>
      <w:fldChar w:fldCharType="begin"/>
    </w:r>
    <w:r>
      <w:instrText xml:space="preserve">REF SR_Nummer \h \* MERGEFORMAT </w:instrText>
    </w:r>
    <w:r>
      <w:fldChar w:fldCharType="separate"/>
    </w:r>
    <w:r>
      <w:rPr>
        <w:noProof/>
        <w:color w:val="000000"/>
      </w:rPr>
      <w:t>0.632.316.891.1</w:t>
    </w:r>
    <w:r>
      <w:fldChar w:fldCharType="end"/>
    </w:r>
  </w:p>
  <w:p>
    <w:pPr>
      <w:pStyle w:val="Header"/>
    </w:pPr>
    <w:r>
      <w:t>Freihandelsabkommen zwischen den EFTA-Staaten und Singapur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mirrorMargins/>
  <w:attachedTemplate r:id="rId1"/>
  <w:linkStyles/>
  <w:stylePaneFormatFilter w:val="3801"/>
  <w:doNotTrackMoves/>
  <w:defaultTabStop w:val="686"/>
  <w:clickAndTypeStyle w:val="Absatz"/>
  <w:autoHyphenation/>
  <w:consecutiveHyphenLimit w:val="3"/>
  <w:hyphenationZone w:val="460"/>
  <w:doNotHyphenateCaps/>
  <w:evenAndOddHeaders/>
  <w:drawingGridHorizontalSpacing w:val="90"/>
  <w:drawingGridVerticalSpacing w:val="120"/>
  <w:displayHorizontalDrawingGridEvery w:val="0"/>
  <w:displayVerticalDrawingGridEvery w:val="3"/>
  <w:doNotShadeFormData/>
  <w:characterSpacingControl w:val="compressPunctuation"/>
  <w:footnotePr>
    <w:footnote w:id="0"/>
    <w:footnote w:id="1"/>
  </w:footnotePr>
  <w:compat>
    <w:spaceForUL/>
    <w:balanceSingleByteDoubleByteWidth/>
    <w:doNotLeaveBackslashAlone/>
    <w:ulTrailSpace/>
    <w:suppressBottomSpacing/>
    <w:suppressTopSpacing/>
    <w:suppressSpacingAtTopOfPage/>
    <w:suppressSpBfAfterPgBrk/>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pPr>
      <w:spacing w:before="60" w:line="200" w:lineRule="exact"/>
      <w:jc w:val="both"/>
    </w:pPr>
    <w:rPr>
      <w:color w:val="FF00FF"/>
      <w:sz w:val="18"/>
      <w:lang w:val="de-CH" w:eastAsia="de-DE" w:bidi="ar-SA"/>
    </w:rPr>
  </w:style>
  <w:style w:type="paragraph" w:styleId="Heading1">
    <w:name w:val="heading 1"/>
    <w:qFormat/>
    <w:pPr>
      <w:keepNext/>
      <w:keepLines/>
      <w:tabs>
        <w:tab w:val="left" w:pos="1134"/>
      </w:tabs>
      <w:suppressAutoHyphens/>
      <w:spacing w:before="80" w:line="200" w:lineRule="exact"/>
      <w:outlineLvl w:val="0"/>
    </w:pPr>
    <w:rPr>
      <w:b/>
      <w:lang w:val="de-CH" w:eastAsia="de-DE" w:bidi="ar-SA"/>
    </w:rPr>
  </w:style>
  <w:style w:type="paragraph" w:styleId="Heading2">
    <w:name w:val="heading 2"/>
    <w:basedOn w:val="Heading1"/>
    <w:qFormat/>
    <w:pPr>
      <w:outlineLvl w:val="1"/>
    </w:pPr>
  </w:style>
  <w:style w:type="paragraph" w:styleId="Heading3">
    <w:name w:val="heading 3"/>
    <w:basedOn w:val="Heading1"/>
    <w:qFormat/>
    <w:pPr>
      <w:outlineLvl w:val="2"/>
    </w:pPr>
  </w:style>
  <w:style w:type="paragraph" w:styleId="Heading4">
    <w:name w:val="heading 4"/>
    <w:basedOn w:val="Heading1"/>
    <w:qFormat/>
    <w:pPr>
      <w:outlineLvl w:val="3"/>
    </w:pPr>
  </w:style>
  <w:style w:type="paragraph" w:styleId="Heading5">
    <w:name w:val="heading 5"/>
    <w:qFormat/>
    <w:pPr>
      <w:keepNext/>
      <w:keepLines/>
      <w:framePr w:w="907" w:wrap="around" w:vAnchor="text" w:hAnchor="text" w:x="-1020" w:y="63"/>
      <w:spacing w:before="40" w:line="130" w:lineRule="exact"/>
      <w:outlineLvl w:val="4"/>
    </w:pPr>
    <w:rPr>
      <w:sz w:val="13"/>
      <w:lang w:val="de-CH" w:eastAsia="de-DE" w:bidi="ar-SA"/>
    </w:rPr>
  </w:style>
  <w:style w:type="paragraph" w:styleId="Heading6">
    <w:name w:val="heading 6"/>
    <w:basedOn w:val="Heading5"/>
    <w:qFormat/>
    <w:pPr>
      <w:outlineLvl w:val="5"/>
    </w:pPr>
  </w:style>
  <w:style w:type="paragraph" w:styleId="Heading7">
    <w:name w:val="heading 7"/>
    <w:basedOn w:val="Heading5"/>
    <w:qFormat/>
    <w:pPr>
      <w:outlineLvl w:val="6"/>
    </w:pPr>
  </w:style>
  <w:style w:type="paragraph" w:styleId="Heading8">
    <w:name w:val="heading 8"/>
    <w:basedOn w:val="Heading5"/>
    <w:qFormat/>
    <w:pPr>
      <w:outlineLvl w:val="7"/>
    </w:pPr>
  </w:style>
  <w:style w:type="paragraph" w:styleId="Heading9">
    <w:name w:val="heading 9"/>
    <w:qFormat/>
    <w:pPr>
      <w:keepNext/>
      <w:keepLines/>
      <w:tabs>
        <w:tab w:val="left" w:pos="1134"/>
      </w:tabs>
      <w:suppressAutoHyphens/>
      <w:spacing w:before="280" w:line="200" w:lineRule="exact"/>
      <w:ind w:left="1134" w:hanging="1134"/>
      <w:outlineLvl w:val="8"/>
    </w:pPr>
    <w:rPr>
      <w:sz w:val="18"/>
      <w:lang w:val="de-CH" w:eastAsia="de-DE" w:bidi="ar-SA"/>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sz w:val="18"/>
      <w:lang w:val="de-CH" w:eastAsia="de-DE" w:bidi="ar-SA"/>
    </w:rPr>
  </w:style>
  <w:style w:type="paragraph" w:styleId="Footer">
    <w:name w:val="footer"/>
    <w:pPr>
      <w:spacing w:before="260" w:line="200" w:lineRule="exact"/>
    </w:pPr>
    <w:rPr>
      <w:sz w:val="18"/>
      <w:lang w:val="de-CH" w:eastAsia="de-DE" w:bidi="ar-SA"/>
    </w:rPr>
  </w:style>
  <w:style w:type="paragraph" w:styleId="Header">
    <w:name w:val="header"/>
    <w:pPr>
      <w:pBdr>
        <w:bottom w:val="single" w:sz="6" w:space="5" w:color="auto"/>
      </w:pBdr>
      <w:suppressAutoHyphens/>
      <w:spacing w:after="320" w:line="180" w:lineRule="exact"/>
    </w:pPr>
    <w:rPr>
      <w:sz w:val="16"/>
      <w:lang w:val="de-CH" w:eastAsia="de-DE" w:bidi="ar-SA"/>
    </w:rPr>
  </w:style>
  <w:style w:type="character" w:styleId="FootnoteReference">
    <w:name w:val="footnote reference"/>
    <w:rPr>
      <w:rFonts w:ascii="Times New Roman" w:hAnsi="Times New Roman"/>
      <w:noProof/>
      <w:position w:val="4"/>
      <w:sz w:val="13"/>
    </w:rPr>
  </w:style>
  <w:style w:type="paragraph" w:styleId="FootnoteText">
    <w:name w:val="footnote text"/>
    <w:link w:val="FunotentextZchn"/>
    <w:pPr>
      <w:tabs>
        <w:tab w:val="left" w:pos="40"/>
      </w:tabs>
      <w:spacing w:line="160" w:lineRule="exact"/>
      <w:ind w:left="340" w:hanging="340"/>
    </w:pPr>
    <w:rPr>
      <w:sz w:val="16"/>
      <w:lang w:val="de-CH" w:eastAsia="de-DE" w:bidi="ar-SA"/>
    </w:rPr>
  </w:style>
  <w:style w:type="paragraph" w:customStyle="1" w:styleId="Absatz">
    <w:name w:val="Absatz"/>
    <w:pPr>
      <w:spacing w:before="80" w:line="200" w:lineRule="exact"/>
      <w:jc w:val="both"/>
    </w:pPr>
    <w:rPr>
      <w:sz w:val="18"/>
      <w:lang w:val="de-CH" w:eastAsia="de-DE" w:bidi="ar-SA"/>
    </w:rPr>
  </w:style>
  <w:style w:type="paragraph" w:customStyle="1" w:styleId="Autor">
    <w:name w:val="Autor"/>
    <w:next w:val="Ingress"/>
    <w:pPr>
      <w:keepNext/>
      <w:keepLines/>
      <w:suppressAutoHyphens/>
      <w:spacing w:line="200" w:lineRule="exact"/>
    </w:pPr>
    <w:rPr>
      <w:i/>
      <w:sz w:val="18"/>
      <w:lang w:val="de-CH" w:eastAsia="de-DE" w:bidi="ar-SA"/>
    </w:rPr>
  </w:style>
  <w:style w:type="paragraph" w:customStyle="1" w:styleId="Ingress">
    <w:name w:val="Ingress"/>
    <w:next w:val="Verb"/>
    <w:pPr>
      <w:suppressAutoHyphens/>
      <w:spacing w:before="60" w:line="200" w:lineRule="exact"/>
    </w:pPr>
    <w:rPr>
      <w:sz w:val="18"/>
      <w:lang w:val="de-CH" w:eastAsia="de-DE" w:bidi="ar-SA"/>
    </w:rPr>
  </w:style>
  <w:style w:type="paragraph" w:customStyle="1" w:styleId="Verb">
    <w:name w:val="Verb"/>
    <w:pPr>
      <w:suppressAutoHyphens/>
      <w:spacing w:before="60" w:after="360" w:line="200" w:lineRule="exact"/>
    </w:pPr>
    <w:rPr>
      <w:i/>
      <w:sz w:val="18"/>
      <w:lang w:val="de-CH" w:eastAsia="de-DE" w:bidi="ar-SA"/>
    </w:rPr>
  </w:style>
  <w:style w:type="paragraph" w:customStyle="1" w:styleId="ErlassDatum">
    <w:name w:val="Erlass Datum"/>
    <w:next w:val="ErlassLinie"/>
    <w:pPr>
      <w:keepNext/>
      <w:keepLines/>
      <w:spacing w:before="60" w:line="200" w:lineRule="exact"/>
    </w:pPr>
    <w:rPr>
      <w:sz w:val="18"/>
      <w:lang w:val="de-CH" w:eastAsia="de-DE" w:bidi="ar-SA"/>
    </w:rPr>
  </w:style>
  <w:style w:type="paragraph" w:customStyle="1" w:styleId="ErlassLinie">
    <w:name w:val="Erlass Linie"/>
    <w:next w:val="Autor"/>
    <w:pPr>
      <w:pBdr>
        <w:top w:val="single" w:sz="6" w:space="4" w:color="auto"/>
      </w:pBdr>
      <w:spacing w:before="200" w:line="200" w:lineRule="exact"/>
      <w:jc w:val="both"/>
    </w:pPr>
    <w:rPr>
      <w:sz w:val="18"/>
      <w:lang w:val="de-CH" w:eastAsia="de-DE" w:bidi="ar-SA"/>
    </w:rPr>
  </w:style>
  <w:style w:type="paragraph" w:customStyle="1" w:styleId="Inkrafttreten">
    <w:name w:val="Inkrafttreten"/>
    <w:pPr>
      <w:spacing w:before="400" w:line="160" w:lineRule="exact"/>
    </w:pPr>
    <w:rPr>
      <w:sz w:val="16"/>
      <w:lang w:val="de-CH" w:eastAsia="de-DE" w:bidi="ar-SA"/>
    </w:rPr>
  </w:style>
  <w:style w:type="paragraph" w:customStyle="1" w:styleId="Struktur2">
    <w:name w:val="Struktur 2"/>
    <w:pPr>
      <w:tabs>
        <w:tab w:val="left" w:pos="924"/>
      </w:tabs>
      <w:spacing w:before="40" w:line="200" w:lineRule="exact"/>
      <w:ind w:left="924" w:hanging="357"/>
      <w:jc w:val="both"/>
    </w:pPr>
    <w:rPr>
      <w:sz w:val="18"/>
      <w:lang w:val="de-CH" w:eastAsia="de-DE" w:bidi="ar-SA"/>
    </w:rPr>
  </w:style>
  <w:style w:type="paragraph" w:customStyle="1" w:styleId="Struktur18pt">
    <w:name w:val="Struktur 1 /8pt"/>
    <w:pPr>
      <w:tabs>
        <w:tab w:val="left" w:pos="527"/>
      </w:tabs>
      <w:spacing w:before="60" w:line="160" w:lineRule="exact"/>
      <w:ind w:left="528" w:hanging="318"/>
      <w:jc w:val="both"/>
    </w:pPr>
    <w:rPr>
      <w:sz w:val="16"/>
      <w:lang w:val="de-CH" w:eastAsia="de-DE" w:bidi="ar-SA"/>
    </w:rPr>
  </w:style>
  <w:style w:type="paragraph" w:customStyle="1" w:styleId="Tab-Struktur309pt">
    <w:name w:val="Tab-Struktur 3 0/9pt"/>
    <w:basedOn w:val="Tab-Struktur209pt"/>
    <w:pPr>
      <w:tabs>
        <w:tab w:val="left" w:pos="680"/>
      </w:tabs>
      <w:ind w:left="681"/>
    </w:pPr>
  </w:style>
  <w:style w:type="paragraph" w:customStyle="1" w:styleId="Tab-Struktur209pt">
    <w:name w:val="Tab-Struktur 2 0/9pt"/>
    <w:basedOn w:val="Tab-Struktur109pt"/>
    <w:pPr>
      <w:tabs>
        <w:tab w:val="left" w:pos="454"/>
      </w:tabs>
      <w:ind w:left="454"/>
    </w:pPr>
  </w:style>
  <w:style w:type="paragraph" w:customStyle="1" w:styleId="Tab-Struktur109pt">
    <w:name w:val="Tab-Struktur 1 0/9pt"/>
    <w:pPr>
      <w:tabs>
        <w:tab w:val="left" w:pos="227"/>
      </w:tabs>
      <w:spacing w:line="200" w:lineRule="exact"/>
      <w:ind w:left="227" w:hanging="227"/>
    </w:pPr>
    <w:rPr>
      <w:sz w:val="18"/>
      <w:lang w:val="de-CH" w:eastAsia="de-DE" w:bidi="ar-SA"/>
    </w:rPr>
  </w:style>
  <w:style w:type="paragraph" w:customStyle="1" w:styleId="Tab-Struktur108pt">
    <w:name w:val="Tab-Struktur 1 0/8pt"/>
    <w:pPr>
      <w:tabs>
        <w:tab w:val="left" w:pos="227"/>
      </w:tabs>
      <w:spacing w:line="160" w:lineRule="exact"/>
      <w:ind w:left="227" w:hanging="227"/>
    </w:pPr>
    <w:rPr>
      <w:sz w:val="16"/>
      <w:lang w:val="de-CH" w:eastAsia="de-DE" w:bidi="ar-SA"/>
    </w:rPr>
  </w:style>
  <w:style w:type="paragraph" w:customStyle="1" w:styleId="Struktur1">
    <w:name w:val="Struktur 1"/>
    <w:pPr>
      <w:tabs>
        <w:tab w:val="left" w:pos="567"/>
      </w:tabs>
      <w:spacing w:before="80" w:line="200" w:lineRule="exact"/>
      <w:ind w:left="567" w:hanging="357"/>
      <w:jc w:val="both"/>
    </w:pPr>
    <w:rPr>
      <w:sz w:val="18"/>
      <w:lang w:val="de-CH" w:eastAsia="de-DE" w:bidi="ar-SA"/>
    </w:rPr>
  </w:style>
  <w:style w:type="paragraph" w:styleId="BalloonText">
    <w:name w:val="Balloon Text"/>
    <w:basedOn w:val="Normal"/>
    <w:link w:val="SprechblasentextZchn"/>
    <w:pPr>
      <w:spacing w:before="0" w:line="240" w:lineRule="auto"/>
    </w:pPr>
    <w:rPr>
      <w:rFonts w:ascii="Segoe UI" w:hAnsi="Segoe UI" w:cs="Segoe UI"/>
      <w:szCs w:val="18"/>
    </w:rPr>
  </w:style>
  <w:style w:type="paragraph" w:customStyle="1" w:styleId="SRNummer">
    <w:name w:val="SR Nummer"/>
    <w:next w:val="ErlassTitel"/>
    <w:pPr>
      <w:framePr w:wrap="around" w:xAlign="outside" w:y="-123"/>
      <w:spacing w:line="240" w:lineRule="exact"/>
      <w:jc w:val="right"/>
    </w:pPr>
    <w:rPr>
      <w:b/>
      <w:sz w:val="24"/>
      <w:lang w:val="de-CH" w:eastAsia="de-DE" w:bidi="ar-SA"/>
    </w:rPr>
  </w:style>
  <w:style w:type="paragraph" w:customStyle="1" w:styleId="ErlassTitel">
    <w:name w:val="Erlass Titel"/>
    <w:next w:val="ErlassKurztitel"/>
    <w:pPr>
      <w:keepNext/>
      <w:keepLines/>
      <w:suppressAutoHyphens/>
      <w:spacing w:line="240" w:lineRule="exact"/>
    </w:pPr>
    <w:rPr>
      <w:b/>
      <w:sz w:val="24"/>
      <w:lang w:val="de-CH" w:eastAsia="de-DE" w:bidi="ar-SA"/>
    </w:rPr>
  </w:style>
  <w:style w:type="paragraph" w:customStyle="1" w:styleId="ErlassKurztitel">
    <w:name w:val="Erlass Kurztitel"/>
    <w:next w:val="ErlassDatum"/>
    <w:pPr>
      <w:keepNext/>
      <w:keepLines/>
      <w:suppressAutoHyphens/>
      <w:spacing w:before="80" w:line="200" w:lineRule="exact"/>
    </w:pPr>
    <w:rPr>
      <w:b/>
      <w:lang w:val="de-CH" w:eastAsia="de-DE" w:bidi="ar-SA"/>
    </w:rPr>
  </w:style>
  <w:style w:type="paragraph" w:customStyle="1" w:styleId="Struktur3">
    <w:name w:val="Struktur 3"/>
    <w:pPr>
      <w:tabs>
        <w:tab w:val="left" w:pos="1281"/>
      </w:tabs>
      <w:spacing w:line="200" w:lineRule="exact"/>
      <w:ind w:left="1281" w:hanging="357"/>
      <w:jc w:val="both"/>
    </w:pPr>
    <w:rPr>
      <w:sz w:val="18"/>
      <w:lang w:val="de-CH" w:eastAsia="de-DE" w:bidi="ar-SA"/>
    </w:rPr>
  </w:style>
  <w:style w:type="paragraph" w:customStyle="1" w:styleId="Struktur4">
    <w:name w:val="Struktur 4"/>
    <w:pPr>
      <w:tabs>
        <w:tab w:val="left" w:pos="1639"/>
      </w:tabs>
      <w:spacing w:line="200" w:lineRule="exact"/>
      <w:ind w:left="1638" w:hanging="357"/>
      <w:jc w:val="both"/>
    </w:pPr>
    <w:rPr>
      <w:sz w:val="18"/>
      <w:lang w:val="de-CH" w:eastAsia="de-DE" w:bidi="ar-SA"/>
    </w:rPr>
  </w:style>
  <w:style w:type="paragraph" w:customStyle="1" w:styleId="Struktur28pt">
    <w:name w:val="Struktur 2 /8pt"/>
    <w:pPr>
      <w:tabs>
        <w:tab w:val="left" w:pos="851"/>
      </w:tabs>
      <w:spacing w:before="20" w:line="160" w:lineRule="exact"/>
      <w:ind w:left="851" w:hanging="318"/>
      <w:jc w:val="both"/>
    </w:pPr>
    <w:rPr>
      <w:sz w:val="16"/>
      <w:lang w:val="de-CH" w:eastAsia="de-DE" w:bidi="ar-SA"/>
    </w:rPr>
  </w:style>
  <w:style w:type="paragraph" w:customStyle="1" w:styleId="Struktur38pt">
    <w:name w:val="Struktur 3 /8pt"/>
    <w:pPr>
      <w:tabs>
        <w:tab w:val="left" w:pos="1168"/>
      </w:tabs>
      <w:spacing w:line="160" w:lineRule="exact"/>
      <w:ind w:left="1169" w:hanging="318"/>
      <w:jc w:val="both"/>
    </w:pPr>
    <w:rPr>
      <w:sz w:val="16"/>
      <w:lang w:val="de-CH" w:eastAsia="de-DE" w:bidi="ar-SA"/>
    </w:rPr>
  </w:style>
  <w:style w:type="paragraph" w:customStyle="1" w:styleId="Referenz">
    <w:name w:val="Referenz"/>
    <w:pPr>
      <w:keepNext/>
      <w:keepLines/>
      <w:tabs>
        <w:tab w:val="left" w:pos="1134"/>
      </w:tabs>
      <w:spacing w:before="40" w:line="130" w:lineRule="exact"/>
    </w:pPr>
    <w:rPr>
      <w:sz w:val="13"/>
      <w:lang w:val="de-CH" w:eastAsia="de-DE" w:bidi="ar-SA"/>
    </w:rPr>
  </w:style>
  <w:style w:type="paragraph" w:customStyle="1" w:styleId="Struktur48pt">
    <w:name w:val="Struktur 4 /8pt"/>
    <w:pPr>
      <w:tabs>
        <w:tab w:val="left" w:pos="1486"/>
      </w:tabs>
      <w:spacing w:line="160" w:lineRule="exact"/>
      <w:ind w:left="1486" w:hanging="318"/>
      <w:jc w:val="both"/>
    </w:pPr>
    <w:rPr>
      <w:sz w:val="16"/>
      <w:lang w:val="de-CH" w:eastAsia="de-DE" w:bidi="ar-SA"/>
    </w:rPr>
  </w:style>
  <w:style w:type="paragraph" w:customStyle="1" w:styleId="Tabkrper08pt">
    <w:name w:val="Tabkörper 0/8pt"/>
    <w:pPr>
      <w:spacing w:line="160" w:lineRule="exact"/>
    </w:pPr>
    <w:rPr>
      <w:sz w:val="16"/>
      <w:lang w:val="de-CH" w:eastAsia="de-DE" w:bidi="ar-SA"/>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sz w:val="13"/>
      <w:lang w:val="de-CH" w:eastAsia="de-DE" w:bidi="ar-SA"/>
    </w:rPr>
  </w:style>
  <w:style w:type="paragraph" w:customStyle="1" w:styleId="Tab-Untertit8pt">
    <w:name w:val="Tab-Untertit /8pt"/>
    <w:pPr>
      <w:keepNext/>
      <w:keepLines/>
      <w:spacing w:before="160" w:line="160" w:lineRule="exact"/>
    </w:pPr>
    <w:rPr>
      <w:b/>
      <w:sz w:val="16"/>
      <w:lang w:val="de-CH" w:eastAsia="de-DE" w:bidi="ar-SA"/>
    </w:rPr>
  </w:style>
  <w:style w:type="paragraph" w:customStyle="1" w:styleId="KopfzeileSR">
    <w:name w:val="Kopfzeile SR"/>
    <w:pPr>
      <w:framePr w:wrap="around" w:xAlign="outside" w:y="-124"/>
      <w:suppressAutoHyphens/>
      <w:spacing w:line="260" w:lineRule="exact"/>
    </w:pPr>
    <w:rPr>
      <w:b/>
      <w:sz w:val="18"/>
      <w:lang w:val="de-CH" w:eastAsia="de-DE" w:bidi="ar-SA"/>
    </w:rPr>
  </w:style>
  <w:style w:type="paragraph" w:customStyle="1" w:styleId="Tab-Untertit9pt">
    <w:name w:val="Tab-Untertit /9pt"/>
    <w:pPr>
      <w:keepNext/>
      <w:keepLines/>
      <w:spacing w:before="160" w:line="200" w:lineRule="exact"/>
    </w:pPr>
    <w:rPr>
      <w:b/>
      <w:sz w:val="18"/>
      <w:lang w:val="de-CH" w:eastAsia="de-DE" w:bidi="ar-SA"/>
    </w:rPr>
  </w:style>
  <w:style w:type="paragraph" w:customStyle="1" w:styleId="TitelAnhang">
    <w:name w:val="Titel Anhang"/>
    <w:pPr>
      <w:keepNext/>
      <w:keepLines/>
      <w:suppressAutoHyphens/>
      <w:spacing w:before="240" w:after="160" w:line="220" w:lineRule="exact"/>
      <w:outlineLvl w:val="1"/>
    </w:pPr>
    <w:rPr>
      <w:b/>
      <w:sz w:val="22"/>
      <w:lang w:val="de-CH" w:eastAsia="de-DE" w:bidi="ar-SA"/>
    </w:rPr>
  </w:style>
  <w:style w:type="paragraph" w:customStyle="1" w:styleId="Tab-Utit8pt-kurs">
    <w:name w:val="Tab-Utit /8pt-kurs"/>
    <w:pPr>
      <w:keepNext/>
      <w:keepLines/>
      <w:spacing w:before="120" w:line="160" w:lineRule="exact"/>
    </w:pPr>
    <w:rPr>
      <w:i/>
      <w:sz w:val="16"/>
      <w:lang w:val="de-CH" w:eastAsia="de-DE" w:bidi="ar-SA"/>
    </w:rPr>
  </w:style>
  <w:style w:type="paragraph" w:customStyle="1" w:styleId="TitelAnhText">
    <w:name w:val="Titel Anh Text"/>
    <w:pPr>
      <w:keepNext/>
      <w:keepLines/>
      <w:suppressAutoHyphens/>
      <w:spacing w:line="200" w:lineRule="exact"/>
      <w:jc w:val="right"/>
    </w:pPr>
    <w:rPr>
      <w:sz w:val="18"/>
      <w:lang w:val="de-CH" w:eastAsia="de-DE" w:bidi="ar-SA"/>
    </w:rPr>
  </w:style>
  <w:style w:type="paragraph" w:customStyle="1" w:styleId="TitelAnhKurztit">
    <w:name w:val="Titel Anh Kurztit"/>
    <w:pPr>
      <w:keepNext/>
      <w:suppressAutoHyphens/>
      <w:spacing w:before="80" w:line="200" w:lineRule="exact"/>
      <w:outlineLvl w:val="2"/>
    </w:pPr>
    <w:rPr>
      <w:b/>
      <w:lang w:val="de-CH" w:eastAsia="de-DE" w:bidi="ar-SA"/>
    </w:rPr>
  </w:style>
  <w:style w:type="paragraph" w:customStyle="1" w:styleId="TitelAnhrechts">
    <w:name w:val="Titel Anh rechts"/>
    <w:pPr>
      <w:keepNext/>
      <w:keepLines/>
      <w:pageBreakBefore/>
      <w:suppressAutoHyphens/>
      <w:spacing w:line="200" w:lineRule="exact"/>
      <w:jc w:val="right"/>
      <w:outlineLvl w:val="0"/>
    </w:pPr>
    <w:rPr>
      <w:i/>
      <w:sz w:val="18"/>
      <w:lang w:val="de-CH" w:eastAsia="de-DE" w:bidi="ar-SA"/>
    </w:rPr>
  </w:style>
  <w:style w:type="paragraph" w:customStyle="1" w:styleId="Tab-Utit9pt-kurs">
    <w:name w:val="Tab-Utit /9pt-kurs"/>
    <w:pPr>
      <w:keepNext/>
      <w:keepLines/>
      <w:spacing w:before="120" w:line="200" w:lineRule="exact"/>
    </w:pPr>
    <w:rPr>
      <w:i/>
      <w:sz w:val="18"/>
      <w:lang w:val="de-CH" w:eastAsia="de-DE" w:bidi="ar-SA"/>
    </w:rPr>
  </w:style>
  <w:style w:type="paragraph" w:customStyle="1" w:styleId="Absatz8pt">
    <w:name w:val="Absatz /8pt"/>
    <w:pPr>
      <w:spacing w:before="60" w:line="160" w:lineRule="exact"/>
      <w:jc w:val="both"/>
    </w:pPr>
    <w:rPr>
      <w:sz w:val="16"/>
      <w:lang w:val="de-CH" w:eastAsia="de-DE" w:bidi="ar-SA"/>
    </w:rPr>
  </w:style>
  <w:style w:type="paragraph" w:customStyle="1" w:styleId="FussnotentextMarg">
    <w:name w:val="Fussnotentext Marg"/>
    <w:pPr>
      <w:keepNext/>
      <w:keepLines/>
      <w:tabs>
        <w:tab w:val="left" w:pos="-980"/>
      </w:tabs>
      <w:spacing w:line="160" w:lineRule="exact"/>
      <w:ind w:left="-697" w:hanging="335"/>
    </w:pPr>
    <w:rPr>
      <w:sz w:val="16"/>
      <w:lang w:val="de-CH" w:eastAsia="de-DE" w:bidi="ar-SA"/>
    </w:rPr>
  </w:style>
  <w:style w:type="paragraph" w:customStyle="1" w:styleId="Zyan-Feld">
    <w:name w:val="Zyan-Feld"/>
    <w:pPr>
      <w:spacing w:line="180" w:lineRule="exact"/>
    </w:pPr>
    <w:rPr>
      <w:vanish/>
      <w:color w:val="00FFFF"/>
      <w:sz w:val="18"/>
      <w:lang w:val="de-CH" w:eastAsia="de-DE" w:bidi="ar-SA"/>
    </w:rPr>
  </w:style>
  <w:style w:type="paragraph" w:customStyle="1" w:styleId="Abstand18pt">
    <w:name w:val="Abstand /18pt"/>
    <w:pPr>
      <w:spacing w:before="340" w:line="20" w:lineRule="exact"/>
    </w:pPr>
    <w:rPr>
      <w:b/>
      <w:bCs/>
      <w:color w:val="008000"/>
      <w:sz w:val="290"/>
      <w:szCs w:val="290"/>
      <w:lang w:val="de-CH" w:eastAsia="de-DE" w:bidi="ar-SA"/>
    </w:rPr>
  </w:style>
  <w:style w:type="paragraph" w:customStyle="1" w:styleId="ZifferrmI">
    <w:name w:val="Ziffer röm. I"/>
    <w:pPr>
      <w:keepNext/>
      <w:keepLines/>
      <w:suppressAutoHyphens/>
      <w:spacing w:after="60" w:line="200" w:lineRule="exact"/>
    </w:pPr>
    <w:rPr>
      <w:sz w:val="18"/>
      <w:lang w:val="de-CH" w:eastAsia="de-DE" w:bidi="ar-SA"/>
    </w:rPr>
  </w:style>
  <w:style w:type="paragraph" w:customStyle="1" w:styleId="ZifferrmII">
    <w:name w:val="Ziffer röm. II"/>
    <w:basedOn w:val="ZifferrmI"/>
    <w:pPr>
      <w:spacing w:before="360"/>
    </w:pPr>
  </w:style>
  <w:style w:type="paragraph" w:customStyle="1" w:styleId="Bild">
    <w:name w:val="Bild"/>
    <w:pPr>
      <w:spacing w:line="200" w:lineRule="atLeast"/>
    </w:pPr>
    <w:rPr>
      <w:sz w:val="18"/>
      <w:lang w:val="de-CH" w:eastAsia="de-DE" w:bidi="ar-SA"/>
    </w:rPr>
  </w:style>
  <w:style w:type="paragraph" w:customStyle="1" w:styleId="ErlassDatumAend">
    <w:name w:val="Erlass Datum Aend"/>
    <w:next w:val="ErlassLinie"/>
    <w:pPr>
      <w:keepNext/>
      <w:keepLines/>
    </w:pPr>
    <w:rPr>
      <w:b/>
      <w:lang w:val="de-CH" w:eastAsia="de-DE" w:bidi="ar-SA"/>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after="8400" w:line="2400" w:lineRule="exact"/>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uppressAutoHyphens/>
      <w:spacing w:before="0"/>
      <w:jc w:val="left"/>
    </w:pPr>
  </w:style>
  <w:style w:type="paragraph" w:customStyle="1" w:styleId="Schlussint">
    <w:name w:val="Schluss int"/>
    <w:basedOn w:val="Absatz"/>
    <w:next w:val="UnterschriftenFI1"/>
    <w:pPr>
      <w:spacing w:before="400" w:after="280"/>
    </w:pPr>
  </w:style>
  <w:style w:type="paragraph" w:customStyle="1" w:styleId="Unterschriften">
    <w:name w:val="Unterschriften"/>
    <w:basedOn w:val="Absatz"/>
    <w:pPr>
      <w:tabs>
        <w:tab w:val="left" w:pos="2807"/>
        <w:tab w:val="left" w:pos="3402"/>
        <w:tab w:val="right" w:pos="6112"/>
      </w:tabs>
      <w:suppressAutoHyphens/>
      <w:spacing w:before="120"/>
      <w:jc w:val="left"/>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454"/>
      </w:tabs>
      <w:ind w:left="45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AS-Fussnote">
    <w:name w:val="AS-Fussnote"/>
    <w:basedOn w:val="FootnoteText"/>
    <w:pPr>
      <w:suppressAutoHyphens/>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AS-FussnoteMarg">
    <w:name w:val="AS-Fussnote Marg"/>
    <w:basedOn w:val="FussnotentextMarg"/>
    <w:pPr>
      <w:suppressAutoHyphens/>
      <w:spacing w:after="40"/>
      <w:ind w:left="-1037" w:hanging="40"/>
    </w:pPr>
  </w:style>
  <w:style w:type="paragraph" w:styleId="Macro">
    <w:name w:val="macro"/>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hAnsi="Courier"/>
      <w:color w:val="000066"/>
      <w:lang w:val="de-CH" w:eastAsia="de-DE" w:bidi="ar-SA"/>
    </w:rPr>
  </w:style>
  <w:style w:type="paragraph" w:customStyle="1" w:styleId="KopfzeileMarg">
    <w:name w:val="Kopfzeile Marg"/>
    <w:basedOn w:val="Header"/>
    <w:pPr>
      <w:tabs>
        <w:tab w:val="right" w:pos="5103"/>
      </w:tabs>
      <w:ind w:left="-1021"/>
    </w:pPr>
  </w:style>
  <w:style w:type="character" w:styleId="PageNumber">
    <w:name w:val="page number"/>
    <w:rPr>
      <w:rFonts w:ascii="Times New Roman" w:hAnsi="Times New Roman"/>
      <w:noProof/>
    </w:rPr>
  </w:style>
  <w:style w:type="paragraph" w:customStyle="1" w:styleId="FuzeileMarg">
    <w:name w:val="Fußzeile Marg"/>
    <w:basedOn w:val="Footer"/>
    <w:pPr>
      <w:tabs>
        <w:tab w:val="right" w:pos="5103"/>
      </w:tabs>
      <w:ind w:left="-1021"/>
    </w:pPr>
  </w:style>
  <w:style w:type="paragraph" w:customStyle="1" w:styleId="Unterschriften1">
    <w:name w:val="Unterschriften 1"/>
    <w:basedOn w:val="Unterschriften"/>
    <w:pPr>
      <w:spacing w:before="480"/>
    </w:pPr>
  </w:style>
  <w:style w:type="character" w:customStyle="1" w:styleId="VerborgenKommentar">
    <w:name w:val="Verborgen (Kommentar)"/>
    <w:rPr>
      <w:rFonts w:ascii="Courier New" w:hAnsi="Courier New"/>
      <w:vanish/>
      <w:color w:val="FF00FF"/>
      <w:sz w:val="14"/>
    </w:rPr>
  </w:style>
  <w:style w:type="paragraph" w:customStyle="1" w:styleId="Tab-Struktur308pt">
    <w:name w:val="Tab-Struktur 3 0/8pt"/>
    <w:basedOn w:val="Tab-Struktur208pt"/>
    <w:pPr>
      <w:tabs>
        <w:tab w:val="left" w:pos="680"/>
      </w:tabs>
      <w:ind w:left="68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pPr>
      <w:spacing w:before="60"/>
    </w:pPr>
    <w:rPr>
      <w:color w:val="00FF00"/>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 w:val="left" w:pos="567"/>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pPr>
      <w:tabs>
        <w:tab w:val="left" w:pos="210"/>
      </w:tabs>
      <w:spacing w:before="80" w:line="200" w:lineRule="exact"/>
      <w:ind w:left="567" w:hanging="567"/>
      <w:jc w:val="both"/>
    </w:pPr>
    <w:rPr>
      <w:sz w:val="18"/>
      <w:lang w:val="de-CH" w:eastAsia="de-DE" w:bidi="ar-SA"/>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TOC1">
    <w:name w:val="toc 1"/>
    <w:next w:val="Absatz"/>
    <w:pPr>
      <w:keepNext/>
      <w:keepLines/>
      <w:tabs>
        <w:tab w:val="right" w:pos="6124"/>
      </w:tabs>
      <w:suppressAutoHyphens/>
      <w:spacing w:before="160"/>
      <w:ind w:right="879"/>
    </w:pPr>
    <w:rPr>
      <w:b/>
      <w:sz w:val="22"/>
      <w:szCs w:val="22"/>
      <w:lang w:val="de-CH" w:eastAsia="de-DE" w:bidi="ar-SA"/>
    </w:rPr>
  </w:style>
  <w:style w:type="paragraph" w:styleId="TOC2">
    <w:name w:val="toc 2"/>
    <w:basedOn w:val="TOC1"/>
    <w:next w:val="Absatz"/>
    <w:pPr>
      <w:spacing w:before="120"/>
      <w:ind w:left="142"/>
    </w:pPr>
  </w:style>
  <w:style w:type="paragraph" w:styleId="TOC3">
    <w:name w:val="toc 3"/>
    <w:basedOn w:val="TOC2"/>
    <w:next w:val="Absatz"/>
    <w:pPr>
      <w:spacing w:before="100"/>
      <w:ind w:left="284"/>
    </w:pPr>
    <w:rPr>
      <w:bCs/>
      <w:sz w:val="20"/>
    </w:rPr>
  </w:style>
  <w:style w:type="paragraph" w:styleId="TOC4">
    <w:name w:val="toc 4"/>
    <w:basedOn w:val="TOC3"/>
    <w:next w:val="Absatz"/>
    <w:pPr>
      <w:spacing w:before="80"/>
      <w:ind w:left="425"/>
    </w:pPr>
    <w:rPr>
      <w:bCs w:val="0"/>
    </w:rPr>
  </w:style>
  <w:style w:type="paragraph" w:styleId="TOC5">
    <w:name w:val="toc 5"/>
    <w:basedOn w:val="TOC4"/>
    <w:next w:val="Absatz"/>
    <w:pPr>
      <w:keepNext w:val="0"/>
      <w:keepLines w:val="0"/>
      <w:tabs>
        <w:tab w:val="right" w:leader="dot" w:pos="6124"/>
      </w:tabs>
      <w:spacing w:before="60"/>
      <w:ind w:left="567"/>
    </w:pPr>
    <w:rPr>
      <w:b w:val="0"/>
      <w:bCs/>
      <w:szCs w:val="20"/>
    </w:rPr>
  </w:style>
  <w:style w:type="paragraph" w:styleId="TOC6">
    <w:name w:val="toc 6"/>
    <w:basedOn w:val="TOC5"/>
    <w:next w:val="Absatz"/>
    <w:pPr>
      <w:spacing w:before="40"/>
      <w:ind w:left="709"/>
    </w:pPr>
    <w:rPr>
      <w:bCs w:val="0"/>
      <w:sz w:val="18"/>
    </w:rPr>
  </w:style>
  <w:style w:type="paragraph" w:styleId="TOC7">
    <w:name w:val="toc 7"/>
    <w:basedOn w:val="TOC6"/>
    <w:next w:val="Absatz"/>
    <w:pPr>
      <w:ind w:left="851"/>
    </w:pPr>
  </w:style>
  <w:style w:type="paragraph" w:styleId="TOC8">
    <w:name w:val="toc 8"/>
    <w:basedOn w:val="TOC7"/>
    <w:next w:val="Absatz"/>
    <w:pPr>
      <w:ind w:left="993"/>
    </w:pPr>
  </w:style>
  <w:style w:type="paragraph" w:styleId="TOC9">
    <w:name w:val="toc 9"/>
    <w:basedOn w:val="TOC8"/>
    <w:next w:val="Absatz"/>
  </w:style>
  <w:style w:type="paragraph" w:customStyle="1" w:styleId="Inhaltsverzeichnis">
    <w:name w:val="Inhaltsverzeichnis"/>
    <w:basedOn w:val="Normal"/>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Heading1"/>
    <w:pPr>
      <w:tabs>
        <w:tab w:val="left" w:pos="567"/>
      </w:tabs>
      <w:outlineLvl w:val="3"/>
    </w:pPr>
  </w:style>
  <w:style w:type="paragraph" w:customStyle="1" w:styleId="TitelAnh2">
    <w:name w:val="Titel Anh 2"/>
    <w:basedOn w:val="Heading2"/>
    <w:pPr>
      <w:tabs>
        <w:tab w:val="left" w:pos="567"/>
      </w:tabs>
      <w:outlineLvl w:val="4"/>
    </w:pPr>
  </w:style>
  <w:style w:type="paragraph" w:customStyle="1" w:styleId="TitelAnh3">
    <w:name w:val="Titel Anh 3"/>
    <w:basedOn w:val="Heading3"/>
    <w:pPr>
      <w:tabs>
        <w:tab w:val="left" w:pos="567"/>
      </w:tabs>
      <w:outlineLvl w:val="5"/>
    </w:pPr>
  </w:style>
  <w:style w:type="paragraph" w:customStyle="1" w:styleId="TitelAnh4">
    <w:name w:val="Titel Anh 4"/>
    <w:basedOn w:val="Heading4"/>
    <w:pPr>
      <w:tabs>
        <w:tab w:val="left" w:pos="567"/>
      </w:tabs>
      <w:outlineLvl w:val="6"/>
    </w:pPr>
  </w:style>
  <w:style w:type="paragraph" w:customStyle="1" w:styleId="Error">
    <w:name w:val="Error"/>
    <w:rPr>
      <w:rFonts w:ascii="Arial" w:hAnsi="Arial"/>
      <w:i/>
      <w:color w:val="FF0000"/>
      <w:lang w:val="de-CH" w:eastAsia="de-DE" w:bidi="ar-SA"/>
    </w:rPr>
  </w:style>
  <w:style w:type="paragraph" w:customStyle="1" w:styleId="Verzeichnis5Artikel">
    <w:name w:val="Verzeichnis 5 Artikel"/>
    <w:basedOn w:val="TOC5"/>
  </w:style>
  <w:style w:type="paragraph" w:customStyle="1" w:styleId="Verzeichnis6Artikel">
    <w:name w:val="Verzeichnis 6 Artikel"/>
    <w:basedOn w:val="TOC6"/>
    <w:rPr>
      <w:szCs w:val="18"/>
    </w:rPr>
  </w:style>
  <w:style w:type="paragraph" w:customStyle="1" w:styleId="Verzeichnis7Artikel">
    <w:name w:val="Verzeichnis 7 Artikel"/>
    <w:basedOn w:val="TOC7"/>
    <w:rPr>
      <w:szCs w:val="18"/>
    </w:rPr>
  </w:style>
  <w:style w:type="paragraph" w:customStyle="1" w:styleId="Verzeichnis8Artikel">
    <w:name w:val="Verzeichnis 8 Artikel"/>
    <w:basedOn w:val="TOC8"/>
    <w:rPr>
      <w:szCs w:val="18"/>
    </w:rPr>
  </w:style>
  <w:style w:type="character" w:customStyle="1" w:styleId="ErrorZ">
    <w:name w:val="ErrorZ"/>
    <w:rPr>
      <w:rFonts w:ascii="Arial" w:hAnsi="Arial"/>
      <w:i/>
      <w:color w:val="FF0000"/>
    </w:rPr>
  </w:style>
  <w:style w:type="paragraph" w:customStyle="1" w:styleId="UnterschriftenFI1">
    <w:name w:val="UnterschriftenFI 1"/>
    <w:basedOn w:val="Unterschriften1"/>
    <w:pPr>
      <w:tabs>
        <w:tab w:val="left" w:pos="1701"/>
        <w:tab w:val="clear" w:pos="2807"/>
      </w:tabs>
    </w:pPr>
  </w:style>
  <w:style w:type="paragraph" w:customStyle="1" w:styleId="UnterschriftenFI">
    <w:name w:val="UnterschriftenFI"/>
    <w:basedOn w:val="Unterschriften"/>
    <w:pPr>
      <w:tabs>
        <w:tab w:val="left" w:pos="1701"/>
        <w:tab w:val="clear" w:pos="2807"/>
      </w:tabs>
    </w:pPr>
  </w:style>
  <w:style w:type="table" w:styleId="TableGrid">
    <w:name w:val="Table Grid"/>
    <w:basedOn w:val="TableNormal"/>
    <w:pPr>
      <w:spacing w:line="200" w:lineRule="exact"/>
      <w:jc w:val="both"/>
    </w:pPr>
    <w:rPr>
      <w:sz w:val="18"/>
      <w:szCs w:val="18"/>
    </w:rPr>
    <w:tblPr>
      <w:tblCellMar>
        <w:left w:w="0" w:type="dxa"/>
        <w:right w:w="0" w:type="dxa"/>
      </w:tblCellMar>
    </w:tblPr>
    <w:trPr>
      <w:cantSplit/>
    </w:trPr>
  </w:style>
  <w:style w:type="character" w:customStyle="1" w:styleId="FunotentextZchn">
    <w:name w:val="Fußnotentext Zchn"/>
    <w:link w:val="FootnoteText"/>
    <w:rPr>
      <w:sz w:val="16"/>
      <w:lang w:eastAsia="de-DE"/>
    </w:rPr>
  </w:style>
  <w:style w:type="paragraph" w:customStyle="1" w:styleId="Tabkrper083pt">
    <w:name w:val="Tabkörper 0/8/3pt"/>
    <w:basedOn w:val="Tabkrper08pt"/>
    <w:qFormat/>
    <w:pPr>
      <w:spacing w:after="60"/>
    </w:pPr>
  </w:style>
  <w:style w:type="paragraph" w:customStyle="1" w:styleId="Tabkrper383pt">
    <w:name w:val="Tabkörper 3/8/3pt"/>
    <w:basedOn w:val="Tabkrper38pt"/>
    <w:qFormat/>
    <w:pPr>
      <w:tabs>
        <w:tab w:val="left" w:pos="2892"/>
      </w:tabs>
      <w:spacing w:after="60"/>
    </w:p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Struktur1083pt">
    <w:name w:val="Tab-Struktur 1 0/8/3pt"/>
    <w:basedOn w:val="Tab-Struktur108pt"/>
    <w:qFormat/>
    <w:pPr>
      <w:spacing w:after="60"/>
    </w:pPr>
  </w:style>
  <w:style w:type="character" w:customStyle="1" w:styleId="SprechblasentextZchn">
    <w:name w:val="Sprechblasentext Zchn"/>
    <w:link w:val="BalloonText"/>
    <w:rPr>
      <w:rFonts w:ascii="Segoe UI" w:hAnsi="Segoe UI" w:cs="Segoe UI"/>
      <w:color w:val="FF00FF"/>
      <w:sz w:val="18"/>
      <w:szCs w:val="18"/>
      <w:lang w:eastAsia="de-D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v:\SR-Vorl.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5BC0A-AA02-4AF8-8FD4-5D717CD6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SR-Vorl.dot</Template>
  <TotalTime>0</TotalTime>
  <Pages>48</Pages>
  <Words>13074</Words>
  <Characters>90998</Characters>
  <Application>Microsoft Office Word</Application>
  <DocSecurity>0</DocSecurity>
  <Lines>1857</Lines>
  <Paragraphs>782</Paragraphs>
  <ScaleCrop>false</ScaleCrop>
  <HeadingPairs>
    <vt:vector size="2" baseType="variant">
      <vt:variant>
        <vt:lpstr>Titel</vt:lpstr>
      </vt:variant>
      <vt:variant>
        <vt:i4>1</vt:i4>
      </vt:variant>
    </vt:vector>
  </HeadingPairs>
  <TitlesOfParts>
    <vt:vector size="1" baseType="lpstr">
      <vt:lpstr>0.632.316.891.1 </vt:lpstr>
    </vt:vector>
  </TitlesOfParts>
  <Manager>Bernhard Moll, lic. jur., Stv. Leiter KAV, Schweizerische Bundeskanzlei (BK)</Manager>
  <Company>Autor Makros und Vorlagen: Stoupa &amp; Partners AG im Auftrag von K A V</Company>
  <LinksUpToDate>false</LinksUpToDate>
  <CharactersWithSpaces>103290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0.632.316.891.1</dc:title>
  <dc:subject>Freihandelsabkommen  zwischen den EFTA-Staaten  und der Republik Singapur</dc:subject>
  <dc:creator>KAV - Kompetenzzentrum Amtliche Veröffentlichungen, BK</dc:creator>
  <cp:keywords>Rechtstext Formatvorlage DfV</cp:keywords>
  <dc:description>Dokumentvorlage AS / SR - Diverse Makros</dc:description>
  <cp:lastModifiedBy>Moll Bernard BK</cp:lastModifiedBy>
  <cp:revision>2</cp:revision>
  <cp:lastPrinted>2021-08-09T09:40:00Z</cp:lastPrinted>
  <dcterms:created xsi:type="dcterms:W3CDTF">2021-08-09T09:40:00Z</dcterms:created>
  <dcterms:modified xsi:type="dcterms:W3CDTF">2021-08-09T09:40:00Z</dcterms:modified>
  <cp:category>Systematische Sammlung des Bundesrechts (SR)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undCheck">
    <vt:i4>44414</vt:i4>
  </property>
  <property fmtid="{D5CDD505-2E9C-101B-9397-08002B2CF9AE}" pid="3" name="MesserliCheck">
    <vt:i4>44414</vt:i4>
  </property>
  <property fmtid="{D5CDD505-2E9C-101B-9397-08002B2CF9AE}" pid="4" name="Tage06Check">
    <vt:i4>44414</vt:i4>
  </property>
  <property fmtid="{D5CDD505-2E9C-101B-9397-08002B2CF9AE}" pid="5" name="Tage90Check">
    <vt:i4>44414</vt:i4>
  </property>
  <property fmtid="{D5CDD505-2E9C-101B-9397-08002B2CF9AE}" pid="6" name="VersionCheck">
    <vt:i4>39777</vt:i4>
  </property>
</Properties>
</file>