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p>
      <w:pPr>
        <w:pStyle w:val="Zyan-Feld"/>
      </w:pPr>
      <w:r>
        <w:rPr>
          <w:vanish w:val="0"/>
          <w:color w:val="000000"/>
        </w:rPr>
        <w:fldChar w:fldCharType="begin"/>
      </w:r>
      <w:r>
        <w:rPr>
          <w:vanish w:val="0"/>
          <w:color w:val="000000"/>
        </w:rPr>
        <w:instrText xml:space="preserve"> SET SR_Nummer "0.423.92" \* MERGEFORMAT </w:instrText>
      </w:r>
      <w:r>
        <w:rPr>
          <w:vanish w:val="0"/>
          <w:color w:val="000000"/>
        </w:rPr>
        <w:fldChar w:fldCharType="separate"/>
      </w:r>
      <w:bookmarkStart w:id="0" w:name="SR_Nummer"/>
      <w:r>
        <w:rPr>
          <w:noProof/>
          <w:vanish w:val="0"/>
          <w:color w:val="000000"/>
        </w:rPr>
        <w:t>0.423.92</w:t>
      </w:r>
      <w:bookmarkEnd w:id="0"/>
      <w:r>
        <w:rPr>
          <w:vanish w:val="0"/>
          <w:color w:val="000000"/>
        </w:rPr>
        <w:fldChar w:fldCharType="end"/>
      </w:r>
      <w:r>
        <w:rPr>
          <w:vanish w:val="0"/>
          <w:color w:val="000000"/>
        </w:rPr>
        <w:fldChar w:fldCharType="begin"/>
      </w:r>
      <w:r>
        <w:rPr>
          <w:vanish w:val="0"/>
          <w:color w:val="000000"/>
        </w:rPr>
        <w:instrText xml:space="preserve"> SET Standd " (Stand am 1. Januar 2013)" </w:instrText>
      </w:r>
      <w:r>
        <w:rPr>
          <w:vanish w:val="0"/>
          <w:color w:val="000000"/>
        </w:rPr>
        <w:fldChar w:fldCharType="separate"/>
      </w:r>
      <w:bookmarkStart w:id="1" w:name="Standd"/>
      <w:r>
        <w:rPr>
          <w:noProof/>
          <w:vanish w:val="0"/>
          <w:color w:val="000000"/>
        </w:rPr>
        <w:t xml:space="preserve"> (Stand am 1. Januar 2013)</w:t>
      </w:r>
      <w:bookmarkEnd w:id="1"/>
      <w:r>
        <w:rPr>
          <w:vanish w:val="0"/>
          <w:color w:val="000000"/>
        </w:rPr>
        <w:fldChar w:fldCharType="end"/>
      </w:r>
      <w:r>
        <w:t>Nicht löschen bitte "</w:t>
      </w:r>
      <w:r>
        <w:footnoteReference w:customMarkFollows="1" w:id="2"/>
        <w:t xml:space="preserve"> " !! 
</w:t>
      </w:r>
    </w:p>
    <w:p>
      <w:pPr>
        <w:pStyle w:val="SRNummer"/>
      </w:pPr>
      <w:r>
        <w:fldChar w:fldCharType="begin"/>
      </w:r>
      <w:r>
        <w:instrText xml:space="preserve">REF SR_Nummer \h \* MERGEFORMAT </w:instrText>
      </w:r>
      <w:r>
        <w:fldChar w:fldCharType="separate"/>
      </w:r>
      <w:r>
        <w:t>0.423.92</w:t>
      </w:r>
      <w:r>
        <w:fldChar w:fldCharType="end"/>
      </w:r>
    </w:p>
    <w:p>
      <w:pPr>
        <w:pStyle w:val="Tabkrper09pt-kurs"/>
      </w:pPr>
      <w:r>
        <w:t>Übersetzung</w:t>
      </w:r>
      <w:r>
        <w:rPr>
          <w:rStyle w:val="FootnoteReference"/>
          <w:i/>
          <w:noProof w:val="0"/>
          <w:lang w:val="de-CH" w:eastAsia="de-DE"/>
        </w:rPr>
        <w:footnoteReference w:id="3"/>
      </w:r>
    </w:p>
    <w:p>
      <w:pPr>
        <w:pStyle w:val="Abstand4pt"/>
      </w:pPr>
    </w:p>
    <w:p>
      <w:pPr>
        <w:pStyle w:val="Abstand4pt"/>
      </w:pPr>
    </w:p>
    <w:p>
      <w:pPr>
        <w:pStyle w:val="ErlassTitel"/>
      </w:pPr>
      <w:r>
        <w:t xml:space="preserve">Vollzugsübereinkommen </w:t>
        <w:br/>
        <w:t>über ein Programm für Forschung und Entwic</w:t>
      </w:r>
      <w:r>
        <w:t>k</w:t>
      </w:r>
      <w:r>
        <w:t xml:space="preserve">lung </w:t>
        <w:br/>
        <w:t xml:space="preserve">auf dem Gebiet der rationellen Energieverwendung </w:t>
        <w:br/>
        <w:t>in Gebäuden und Gemeinschaftssystemen</w:t>
      </w:r>
    </w:p>
    <w:p>
      <w:pPr>
        <w:pStyle w:val="Abstand18pt"/>
      </w:pPr>
    </w:p>
    <w:p>
      <w:pPr>
        <w:pStyle w:val="ErlassSubtitel"/>
      </w:pPr>
      <w:r>
        <w:t xml:space="preserve">Abgeschlossen in Paris am 16. März 1977 </w:t>
        <w:br/>
        <w:t>Von der Bundesversammlung genehmigt am 17. September 1979</w:t>
      </w:r>
      <w:r>
        <w:rPr>
          <w:rStyle w:val="FootnoteReference"/>
          <w:noProof w:val="0"/>
          <w:lang w:val="de-CH" w:eastAsia="de-DE"/>
        </w:rPr>
        <w:footnoteReference w:id="4"/>
      </w:r>
      <w:r>
        <w:t xml:space="preserve"> </w:t>
        <w:br/>
        <w:t xml:space="preserve">Schweizerische Ratifikationsurkunde hinterlegt am 22. Februar 1980 </w:t>
        <w:br/>
        <w:t>In Kraft getreten für die Schweiz am 22. Februar 1980</w:t>
      </w:r>
    </w:p>
    <w:p>
      <w:pPr>
        <w:pStyle w:val="ErlassDatum"/>
      </w:pPr>
      <w:r>
        <w:fldChar w:fldCharType="begin"/>
      </w:r>
      <w:r>
        <w:instrText xml:space="preserve"> REF Standd \h  \* MERGEFORMAT </w:instrText>
      </w:r>
      <w:r>
        <w:fldChar w:fldCharType="separate"/>
      </w:r>
      <w:r>
        <w:rPr>
          <w:color w:val="000000"/>
        </w:rPr>
        <w:t xml:space="preserve"> (Stand am 1. Januar 2013)</w:t>
      </w:r>
      <w:r>
        <w:fldChar w:fldCharType="end"/>
      </w:r>
    </w:p>
    <w:p>
      <w:pPr>
        <w:pStyle w:val="ErlassLinie"/>
      </w:pPr>
    </w:p>
    <w:p>
      <w:pPr>
        <w:pStyle w:val="Autor"/>
      </w:pPr>
      <w:r>
        <w:t>Die Vertragschliessenden Parteien,</w:t>
      </w:r>
    </w:p>
    <w:p>
      <w:pPr>
        <w:pStyle w:val="Absatz"/>
      </w:pPr>
      <w:r>
        <w:t>in Erwägung, dass die Vertragschliessenden Parteien – Regierungen, internationale Organisationen oder Parteien, die durch ihre Regierungen in Anwendung von Art</w:t>
      </w:r>
      <w:r>
        <w:t>i</w:t>
      </w:r>
      <w:r>
        <w:t xml:space="preserve">kel III der Richtlinien für die Zusammenarbeit auf dem Gebiet der Energieforschung und </w:t>
      </w:r>
      <w:r>
        <w:noBreakHyphen/>
        <w:t>entwicklung, welche am 28. Juli 1975 vom Verwaltungsrat der Internationalen Energie</w:t>
      </w:r>
      <w:r>
        <w:noBreakHyphen/>
        <w:t>Agentur (nachfolgend «Agentur» genannt) genehmigt worden waren, b</w:t>
      </w:r>
      <w:r>
        <w:t>e</w:t>
      </w:r>
      <w:r>
        <w:t>zeichnet wurden – sich an der Ausarbeitung und der Durchführung eines Progra</w:t>
      </w:r>
      <w:r>
        <w:t>m</w:t>
      </w:r>
      <w:r>
        <w:t>mes für Forschung und Entwicklung auf dem Gebiet der rationellen Energieverwe</w:t>
      </w:r>
      <w:r>
        <w:t>n</w:t>
      </w:r>
      <w:r>
        <w:t>dung in Gebäuden und Gemeinschaftssystemen, wie im vorliegenden Übereinkommen vorgesehen, zu beteiligen wünschen;</w:t>
      </w:r>
    </w:p>
    <w:p>
      <w:pPr>
        <w:pStyle w:val="Absatz"/>
      </w:pPr>
      <w:r>
        <w:t>in Erwägung, dass die Vertragschliessenden Parteien, die Regierungen sind, sowie die Regierungen der anderen Vertragschliessenden Parteien (im folgenden zusa</w:t>
      </w:r>
      <w:r>
        <w:t>m</w:t>
      </w:r>
      <w:r>
        <w:t>menfassend als «die Regierungen» bezeichnet) sich an der Agentur beteiligen und sich in Artikel 41 des Übereinkommens über ein Internationales Energieprogramm</w:t>
      </w:r>
      <w:r>
        <w:rPr>
          <w:rStyle w:val="FootnoteReference"/>
          <w:noProof w:val="0"/>
          <w:lang w:val="de-CH" w:eastAsia="de-DE"/>
        </w:rPr>
        <w:footnoteReference w:id="5"/>
      </w:r>
      <w:r>
        <w:t xml:space="preserve"> (im folgenden als IEP bezeichnet) bereit erklärt haben, in den in Artikel 42 des IEP bezeichneten Bereichen nationale Programme in die Wege zu leiten, einschliesslich der Forschung und Entwicklung auf dem Gebiet der rationellen Energieverwendung, auf welchem das Programm durchgeführt werden soll;</w:t>
      </w:r>
    </w:p>
    <w:p>
      <w:pPr>
        <w:pStyle w:val="Absatz"/>
      </w:pPr>
      <w:r>
        <w:t>in Erwägung, dass die Regierungen am 28. Juli 1975 im Verwaltungsrat der Agentur dem Programm als einer Sondertätigkeit im Sinne des Artikels 65 des IEP zug</w:t>
      </w:r>
      <w:r>
        <w:t>e</w:t>
      </w:r>
      <w:r>
        <w:t>stimmt haben;</w:t>
      </w:r>
    </w:p>
    <w:p>
      <w:pPr>
        <w:pStyle w:val="Absatz"/>
      </w:pPr>
      <w:r>
        <w:t>in Erwägung, dass die Agentur die Erstellung des Programms als einen wichtigen Bestandteil internationaler Zusammenarbeit bei der Forschung und Entwicklung auf dem Gebiet der rationellen Energieverwendung anerkannt hat;</w:t>
      </w:r>
    </w:p>
    <w:p>
      <w:pPr>
        <w:pStyle w:val="Verb"/>
      </w:pPr>
      <w:r>
        <w:t>sind wie folgt übe</w:t>
      </w:r>
      <w:r>
        <w:t>r</w:t>
      </w:r>
      <w:r>
        <w:t>eingekommen:</w:t>
      </w:r>
    </w:p>
    <w:p>
      <w:pPr>
        <w:pStyle w:val="Heading9"/>
      </w:pPr>
      <w:r>
        <w:rPr>
          <w:b/>
        </w:rPr>
        <w:t>Art. 1</w:t>
        <w:tab/>
      </w:r>
      <w:r>
        <w:t>Zielsetzung</w:t>
      </w:r>
    </w:p>
    <w:p>
      <w:pPr>
        <w:pStyle w:val="Absatz"/>
      </w:pPr>
      <w:r>
        <w:t>(a)  </w:t>
      </w:r>
      <w:r>
        <w:rPr>
          <w:i/>
        </w:rPr>
        <w:t xml:space="preserve">Tätigkeitsbereich. </w:t>
      </w:r>
      <w:r>
        <w:t>Das von den Vertragschliessenden Parteien im Rahmen des vorliegenden Übereinkommens auszuführende Programm besteht aus der gemei</w:t>
      </w:r>
      <w:r>
        <w:t>n</w:t>
      </w:r>
      <w:r>
        <w:t>samen Forschung, Entwicklung und Demonstration sowie dem Informationsau</w:t>
      </w:r>
      <w:r>
        <w:t>s</w:t>
      </w:r>
      <w:r>
        <w:t>tausch betreffend rationeller Energieverwendung in Gebäuden und Gemeinschaft</w:t>
      </w:r>
      <w:r>
        <w:t>s</w:t>
      </w:r>
      <w:r>
        <w:t>systemen.</w:t>
      </w:r>
    </w:p>
    <w:p>
      <w:pPr>
        <w:pStyle w:val="Absatz"/>
      </w:pPr>
      <w:r>
        <w:t>(b)  </w:t>
      </w:r>
      <w:r>
        <w:rPr>
          <w:i/>
        </w:rPr>
        <w:t xml:space="preserve">Durchführungsmethode. </w:t>
      </w:r>
      <w:r>
        <w:t>Die Vertragschliessenden Parteien werden das Pr</w:t>
      </w:r>
      <w:r>
        <w:t>o</w:t>
      </w:r>
      <w:r>
        <w:t>gramm durchführen, indem sie eines oder mehrere der Projekte übernehmen (im fo</w:t>
      </w:r>
      <w:r>
        <w:t>l</w:t>
      </w:r>
      <w:r>
        <w:t>genden als «Projekt» oder «Projekte» bezeichnet), von denen jedes nach Artikel 2 des vorliegenden Übereinkommens der Beteiligung durch zwei oder mehr Vertra</w:t>
      </w:r>
      <w:r>
        <w:t>g</w:t>
      </w:r>
      <w:r>
        <w:t>schliessende Parteien offensteht. Die Vertragschliessenden Parteien, die sich an einem bestimmten Projekt beteiligen, werden für die Zwecke dieses Projekts im vo</w:t>
      </w:r>
      <w:r>
        <w:t>r</w:t>
      </w:r>
      <w:r>
        <w:t>liegenden Abkommen als «Teilnehmer» bezeichnet.</w:t>
      </w:r>
    </w:p>
    <w:p>
      <w:pPr>
        <w:pStyle w:val="Absatz"/>
      </w:pPr>
      <w:r>
        <w:t>(c)  </w:t>
      </w:r>
      <w:r>
        <w:rPr>
          <w:i/>
        </w:rPr>
        <w:t xml:space="preserve">Projektkoordinierung und Zusammenarbeit. </w:t>
      </w:r>
      <w:r>
        <w:t>Die Vertragschliessenden Parteien werden bei der Koordinierung der Arbeit im Rahmen der verschiedenen Projekte zusammenarbeiten und danach trachten, auf der Grundlage einer angemessenen Kosten</w:t>
      </w:r>
      <w:r>
        <w:noBreakHyphen/>
        <w:t>Nutzen</w:t>
      </w:r>
      <w:r>
        <w:noBreakHyphen/>
        <w:t>Teilung die Zusammenarbeit unter den Teilnehmern an den ve</w:t>
      </w:r>
      <w:r>
        <w:t>r</w:t>
      </w:r>
      <w:r>
        <w:t>schiedenen Projekten dahingehend zu fördern, dass die Forschungs</w:t>
      </w:r>
      <w:r>
        <w:noBreakHyphen/>
        <w:t xml:space="preserve"> und Entwic</w:t>
      </w:r>
      <w:r>
        <w:t>k</w:t>
      </w:r>
      <w:r>
        <w:t>lungstäti</w:t>
      </w:r>
      <w:r>
        <w:t>g</w:t>
      </w:r>
      <w:r>
        <w:t>keit aller Vertragschliessenden Parteien auf dem Gebiet der rationellen Energieve</w:t>
      </w:r>
      <w:r>
        <w:t>r</w:t>
      </w:r>
      <w:r>
        <w:t>wendung in Gebäuden und Gemeinschaftssystemen vorangetrieben wird.</w:t>
      </w:r>
    </w:p>
    <w:p>
      <w:pPr>
        <w:pStyle w:val="Heading9"/>
      </w:pPr>
      <w:r>
        <w:rPr>
          <w:b/>
        </w:rPr>
        <w:t>Art. 2</w:t>
        <w:tab/>
      </w:r>
      <w:r>
        <w:t>Bestimmung</w:t>
      </w:r>
      <w:r>
        <w:rPr>
          <w:b/>
        </w:rPr>
        <w:t xml:space="preserve"> </w:t>
      </w:r>
      <w:r>
        <w:t>und Einführung von Projekten</w:t>
      </w:r>
    </w:p>
    <w:p>
      <w:pPr>
        <w:pStyle w:val="Absatz"/>
      </w:pPr>
      <w:r>
        <w:t>(a)  </w:t>
      </w:r>
      <w:r>
        <w:rPr>
          <w:i/>
        </w:rPr>
        <w:t xml:space="preserve">Bestimmung. </w:t>
      </w:r>
      <w:r>
        <w:t>Die von den Teilnehmern übernommenen Projekte sind in den A</w:t>
      </w:r>
      <w:r>
        <w:t>n</w:t>
      </w:r>
      <w:r>
        <w:t>hängen des vorliegenden Übereinkommens bestimmt. Bei der Unterzeichnung des vorliegenden Übereinkommens bekräftigt jede Vertragschliessende Partei ihre A</w:t>
      </w:r>
      <w:r>
        <w:t>b</w:t>
      </w:r>
      <w:r>
        <w:t>sicht, sich an einem oder mehreren der Projekte zu beteiligen, indem sie dem Exekutivdirektor der Agentur eine Erklärung über die Teilnahme an dem einschläg</w:t>
      </w:r>
      <w:r>
        <w:t>i</w:t>
      </w:r>
      <w:r>
        <w:t>gen Anhang oder den einschlägigen Anhängen übergibt, und der Projektleiter für jedes Projekt hat dem Exekutivdirektor der Agentur eine Mitteilung über die A</w:t>
      </w:r>
      <w:r>
        <w:t>n</w:t>
      </w:r>
      <w:r>
        <w:t>nahme des das Projekt enthaltenden Anhangs zu geben. Danach ist jedes Projekt gemäss den in den Artikeln 2–11 des vorliegenden Übereinkommens angegebenen Verfahren au</w:t>
      </w:r>
      <w:r>
        <w:t>s</w:t>
      </w:r>
      <w:r>
        <w:t>zuführen, sofern der einschlägige Anhang nicht ausdrücklich etwas anderes vo</w:t>
      </w:r>
      <w:r>
        <w:t>r</w:t>
      </w:r>
      <w:r>
        <w:t>sieht.</w:t>
      </w:r>
    </w:p>
    <w:p>
      <w:pPr>
        <w:pStyle w:val="Absatz"/>
      </w:pPr>
      <w:r>
        <w:t>(b)  </w:t>
      </w:r>
      <w:r>
        <w:rPr>
          <w:i/>
        </w:rPr>
        <w:t xml:space="preserve">Einführung zusätzlicher Projekte. </w:t>
      </w:r>
      <w:r>
        <w:t>Zusätzliche Projekte können von jeder Ve</w:t>
      </w:r>
      <w:r>
        <w:t>r</w:t>
      </w:r>
      <w:r>
        <w:t>tragschliessenden Partei auf folgende Weise eingeführt werden:</w:t>
      </w:r>
    </w:p>
    <w:p>
      <w:pPr>
        <w:pStyle w:val="Struktur1"/>
      </w:pPr>
      <w:r>
        <w:t>(1)</w:t>
        <w:tab/>
        <w:t>Eine Vertragschliessende Partei, die ein neues Projekt einführen will, hat e</w:t>
      </w:r>
      <w:r>
        <w:t>i</w:t>
      </w:r>
      <w:r>
        <w:t>ner oder mehreren der Vertragschliessenden Parteien den Entwurf eines A</w:t>
      </w:r>
      <w:r>
        <w:t>n</w:t>
      </w:r>
      <w:r>
        <w:t>hangs zur Genehmigung vorzulegen, der in der Form dem dem vorli</w:t>
      </w:r>
      <w:r>
        <w:t>e</w:t>
      </w:r>
      <w:r>
        <w:t>genden Übereinkommen beiliegenden Anhang entspricht und eine Beschre</w:t>
      </w:r>
      <w:r>
        <w:t>i</w:t>
      </w:r>
      <w:r>
        <w:t>bung des Tätigkeitsbereichs und der Bedingungen des zur Durchführung vorgeschl</w:t>
      </w:r>
      <w:r>
        <w:t>a</w:t>
      </w:r>
      <w:r>
        <w:t>genen Projekts enthält.</w:t>
      </w:r>
    </w:p>
    <w:p>
      <w:pPr>
        <w:pStyle w:val="Abstand18pt"/>
      </w:pPr>
    </w:p>
    <w:p>
      <w:pPr>
        <w:pStyle w:val="Abstand18pt"/>
      </w:pPr>
    </w:p>
    <w:p>
      <w:pPr>
        <w:pStyle w:val="Struktur1"/>
      </w:pPr>
      <w:r>
        <w:t>(2)</w:t>
        <w:tab/>
        <w:t>Vereinbaren zwei oder mehrere Vertragschliessende Parteien die Durchfü</w:t>
      </w:r>
      <w:r>
        <w:t>h</w:t>
      </w:r>
      <w:r>
        <w:t>rung eines neuen Projekts, dann haben sie den Entwurf des Anhangs dem Programmausschuss zur Genehmigung nach Artikel 3 Absatz (e) Ziffer (2) des vorliegenden Übereinkommens vorzulegen. Der genehmigte Anhang</w:t>
      </w:r>
      <w:r>
        <w:t>s</w:t>
      </w:r>
      <w:r>
        <w:t>entwurf wird daraufhin Bestandteil des vorliegenden Abkommens. Die E</w:t>
      </w:r>
      <w:r>
        <w:t>r</w:t>
      </w:r>
      <w:r>
        <w:t>klärung über die Beteiligung an einem Projekt seitens der Vertragschliesse</w:t>
      </w:r>
      <w:r>
        <w:t>n</w:t>
      </w:r>
      <w:r>
        <w:t>den Parteien sowie die Annahme seitens des Projektleiters sind dem Exekutivdirektor in der in Absatz (a) oben vorgesehenen Weise zuzuleiten.</w:t>
      </w:r>
    </w:p>
    <w:p>
      <w:pPr>
        <w:pStyle w:val="Struktur1"/>
      </w:pPr>
      <w:r>
        <w:t>(3)</w:t>
        <w:tab/>
        <w:t>Bei der Durchführung der verschiedenen Projekte haben die Teilnehmer ihre Tätigkeiten zu koordinieren, um Doppelspurigkeiten zu vermeiden.</w:t>
      </w:r>
    </w:p>
    <w:p>
      <w:pPr>
        <w:pStyle w:val="Absatz"/>
      </w:pPr>
      <w:r>
        <w:t>(c)  </w:t>
      </w:r>
      <w:r>
        <w:rPr>
          <w:i/>
        </w:rPr>
        <w:t xml:space="preserve">Geltungsbereich der die Projekte betreffenden Anhänge. </w:t>
      </w:r>
      <w:r>
        <w:t>Jeder Anhang ist nur für die Teilnehmer daran sowie für den Projektleiter für dieses Projekt bindend und berührt in keiner Weise die Rechte und Pflichten der anderen Vertragschliessenden Parteien.</w:t>
      </w:r>
    </w:p>
    <w:p>
      <w:pPr>
        <w:pStyle w:val="Heading9"/>
      </w:pPr>
      <w:r>
        <w:rPr>
          <w:b/>
        </w:rPr>
        <w:t>Art. 3</w:t>
        <w:tab/>
      </w:r>
      <w:r>
        <w:t>Der Programmausschuss</w:t>
      </w:r>
    </w:p>
    <w:p>
      <w:pPr>
        <w:pStyle w:val="Absatz"/>
      </w:pPr>
      <w:r>
        <w:t>(a)  </w:t>
      </w:r>
      <w:r>
        <w:rPr>
          <w:i/>
        </w:rPr>
        <w:t xml:space="preserve">Aufsicht und Kontrolle. </w:t>
      </w:r>
      <w:r>
        <w:t>Die Aufsicht und Kontrolle über das Programm obliegt dem gemäss dem vorliegenden Artikel gebildeten Programmausschuss.</w:t>
      </w:r>
    </w:p>
    <w:p>
      <w:pPr>
        <w:pStyle w:val="Absatz"/>
      </w:pPr>
      <w:r>
        <w:t>(b)  </w:t>
      </w:r>
      <w:r>
        <w:rPr>
          <w:i/>
        </w:rPr>
        <w:t xml:space="preserve">Mitgliedschaft. </w:t>
      </w:r>
      <w:r>
        <w:t>Dem Programmausschuss gehört je ein von jeder Vertragschlie</w:t>
      </w:r>
      <w:r>
        <w:t>s</w:t>
      </w:r>
      <w:r>
        <w:t>senden Partei bezeichnetes Mitglied an; jede Vertragschliessende Partei bezeichnet ausserdem ein Ersatzmitglied für den Programmausschuss für den Fall, dass das von ihr benannte Mitglied verhindert ist, seine Funktion auszuüben.</w:t>
      </w:r>
    </w:p>
    <w:p>
      <w:pPr>
        <w:pStyle w:val="Absatz"/>
      </w:pPr>
      <w:r>
        <w:t>(c)  </w:t>
      </w:r>
      <w:r>
        <w:rPr>
          <w:i/>
        </w:rPr>
        <w:t xml:space="preserve">Aufgabenbereich. </w:t>
      </w:r>
      <w:r>
        <w:t>Dem Programmausschuss obliegt folgendes:</w:t>
      </w:r>
    </w:p>
    <w:p>
      <w:pPr>
        <w:pStyle w:val="Struktur1"/>
      </w:pPr>
      <w:r>
        <w:t>(1)</w:t>
        <w:tab/>
        <w:t>Er beschliesst für jedes Jahr mit Einstimmigkeit das Arbeitsprogramm und, wenn vorgesehen, auch das Budget für jedes Projekt sowie gleichzeitig ein Arbeitsgrobprogramm und Budget für die folgenden zwei Jahre, der Pr</w:t>
      </w:r>
      <w:r>
        <w:t>o</w:t>
      </w:r>
      <w:r>
        <w:t>grammausschuss kann im Rahmen des Arbeitsprogramms und Budgets A</w:t>
      </w:r>
      <w:r>
        <w:t>n</w:t>
      </w:r>
      <w:r>
        <w:t>passungen vornehmen, wenn erforderlich.</w:t>
      </w:r>
    </w:p>
    <w:p>
      <w:pPr>
        <w:pStyle w:val="Struktur1"/>
      </w:pPr>
      <w:r>
        <w:t>(2)</w:t>
        <w:tab/>
        <w:t>Er stellt die Richtlinien und Vorschriften auf, die für die zweckentspreche</w:t>
      </w:r>
      <w:r>
        <w:t>n</w:t>
      </w:r>
      <w:r>
        <w:t>de Durchführung des Projekts erforderlich sind, einschliesslich der in Arti</w:t>
      </w:r>
      <w:r>
        <w:softHyphen/>
        <w:t>kel 6 des vorliegenden Übereinkommens vorgesehenen finanziellen Reg</w:t>
      </w:r>
      <w:r>
        <w:t>e</w:t>
      </w:r>
      <w:r>
        <w:t>lungen.</w:t>
      </w:r>
    </w:p>
    <w:p>
      <w:pPr>
        <w:pStyle w:val="Struktur1"/>
      </w:pPr>
      <w:r>
        <w:t>(3)</w:t>
        <w:tab/>
        <w:t>Er nimmt die anderen, ihm durch das vorliegende Übereinkommen und seine Anhänge übertragenen Aufgaben wahr.</w:t>
      </w:r>
    </w:p>
    <w:p>
      <w:pPr>
        <w:pStyle w:val="Struktur1"/>
      </w:pPr>
      <w:r>
        <w:t>(4)</w:t>
        <w:tab/>
        <w:t>Er befasst sich mit allen Angelegenheiten, die ihm von einem der Projektle</w:t>
      </w:r>
      <w:r>
        <w:t>i</w:t>
      </w:r>
      <w:r>
        <w:t>ter oder von einer Vertragschliessenden Partei unterbreitet werden.</w:t>
      </w:r>
    </w:p>
    <w:p>
      <w:pPr>
        <w:pStyle w:val="Absatz"/>
      </w:pPr>
      <w:r>
        <w:t>(d)  </w:t>
      </w:r>
      <w:r>
        <w:rPr>
          <w:i/>
        </w:rPr>
        <w:t xml:space="preserve">Verfahren. </w:t>
      </w:r>
      <w:r>
        <w:t>Der Programmausschuss soll seine Aufgaben gemäss den folgenden Verfahren durchführen:</w:t>
      </w:r>
    </w:p>
    <w:p>
      <w:pPr>
        <w:pStyle w:val="Struktur1"/>
      </w:pPr>
      <w:r>
        <w:t>(1)</w:t>
        <w:tab/>
        <w:t>Der Programmausschuss wählt alljährlich einen Vorsitzenden und einen oder mehrere Stellvertretende Vorsitzende.</w:t>
      </w:r>
    </w:p>
    <w:p>
      <w:pPr>
        <w:pStyle w:val="Abstand4pt"/>
      </w:pPr>
    </w:p>
    <w:p>
      <w:pPr>
        <w:pStyle w:val="Abstand4pt"/>
      </w:pPr>
    </w:p>
    <w:p>
      <w:pPr>
        <w:pStyle w:val="Abstand4pt"/>
      </w:pPr>
    </w:p>
    <w:p>
      <w:pPr>
        <w:pStyle w:val="Abstand4pt"/>
      </w:pPr>
    </w:p>
    <w:p>
      <w:pPr>
        <w:pStyle w:val="Abstand4pt"/>
      </w:pPr>
    </w:p>
    <w:p>
      <w:pPr>
        <w:pStyle w:val="Abstand4pt"/>
      </w:pPr>
    </w:p>
    <w:p>
      <w:pPr>
        <w:pStyle w:val="Struktur1"/>
      </w:pPr>
      <w:r>
        <w:t>(2)</w:t>
        <w:tab/>
        <w:t>Der Programmausschuss kann die Unterorgane schaffen und sich die G</w:t>
      </w:r>
      <w:r>
        <w:t>e</w:t>
      </w:r>
      <w:r>
        <w:t>schäftsordnung geben, die für sein ordnungsgemässes Funktionieren erfo</w:t>
      </w:r>
      <w:r>
        <w:t>r</w:t>
      </w:r>
      <w:r>
        <w:t>derlich sind. Ein Vertreter der Agentur und ein Vertreter jedes Projek</w:t>
      </w:r>
      <w:r>
        <w:t>t</w:t>
      </w:r>
      <w:r>
        <w:t>leiters (in seiner Eigenschaft als solchem) können an den Sitzungen des Program</w:t>
      </w:r>
      <w:r>
        <w:t>m</w:t>
      </w:r>
      <w:r>
        <w:t>ausschusses und seiner Unterorgane in beratender Funktion teilne</w:t>
      </w:r>
      <w:r>
        <w:t>h</w:t>
      </w:r>
      <w:r>
        <w:t>men.</w:t>
      </w:r>
    </w:p>
    <w:p>
      <w:pPr>
        <w:pStyle w:val="Struktur1"/>
      </w:pPr>
      <w:r>
        <w:t>(3)</w:t>
        <w:tab/>
        <w:t>Der Programmausschuss tritt zweimal jährlich zu ordentlichen Sitzungen z</w:t>
      </w:r>
      <w:r>
        <w:t>u</w:t>
      </w:r>
      <w:r>
        <w:t>sammen, eine ausserordentliche Sitzung wird auf Verlangen einer Vertra</w:t>
      </w:r>
      <w:r>
        <w:t>g</w:t>
      </w:r>
      <w:r>
        <w:t>schliessenden Partei einberufen, wenn diese die Notwendigkeit dafür nac</w:t>
      </w:r>
      <w:r>
        <w:t>h</w:t>
      </w:r>
      <w:r>
        <w:t>weisen kann.</w:t>
      </w:r>
    </w:p>
    <w:p>
      <w:pPr>
        <w:pStyle w:val="Struktur1"/>
      </w:pPr>
      <w:r>
        <w:t>(4)</w:t>
        <w:tab/>
        <w:t>Die Sitzungen des Programmausschusses finden zu der Zeit und in dem B</w:t>
      </w:r>
      <w:r>
        <w:t>ü</w:t>
      </w:r>
      <w:r>
        <w:t>ro oder den Büros statt, die dafür vom Ausschuss bestimmt wurden.</w:t>
      </w:r>
    </w:p>
    <w:p>
      <w:pPr>
        <w:pStyle w:val="Struktur1"/>
      </w:pPr>
      <w:r>
        <w:t>(5)</w:t>
        <w:tab/>
        <w:t>Spätestens 28 Tage vor jeder Sitzung des Programmausschusses ist Zei</w:t>
      </w:r>
      <w:r>
        <w:t>t</w:t>
      </w:r>
      <w:r>
        <w:t>punkt, Ort und Zweck der Sitzung jeder Vertragschliessenden Partei und a</w:t>
      </w:r>
      <w:r>
        <w:t>n</w:t>
      </w:r>
      <w:r>
        <w:t>deren zur Teilnahme an der Sitzung berechtigten natürlichen oder jurist</w:t>
      </w:r>
      <w:r>
        <w:t>i</w:t>
      </w:r>
      <w:r>
        <w:t>schen Personen mitzuteilen; eine Mitteilung braucht an natürliche oder juristische Personen, denen sie sonst zustehen würde, dann nicht zu ergehen, wenn vor oder nach der Sitzung ein Verzicht auf die Mitteilung ausgespr</w:t>
      </w:r>
      <w:r>
        <w:t>o</w:t>
      </w:r>
      <w:r>
        <w:t>chen wird.</w:t>
      </w:r>
    </w:p>
    <w:p>
      <w:pPr>
        <w:pStyle w:val="Struktur1"/>
      </w:pPr>
      <w:r>
        <w:t>(6)</w:t>
        <w:tab/>
        <w:t>Das Quorum für die Behandlung von Geschäften beträgt bei Sitzungen des Programmausschusses die Hälfte der Mitglieder plus eins (abzüglich allfällig entstehender Bruchteile), mit der Massgabe, dass jeder sich auf ein bestim</w:t>
      </w:r>
      <w:r>
        <w:t>m</w:t>
      </w:r>
      <w:r>
        <w:t>tes Projekt beziehende Antrag ein wie oben genanntes Quorum der von den Teilnehmern an jenem Projekt benannten Mitglieder oder Ersatzmitglieder bedingt.</w:t>
      </w:r>
    </w:p>
    <w:p>
      <w:pPr>
        <w:pStyle w:val="Absatz"/>
      </w:pPr>
      <w:r>
        <w:t>(e)  </w:t>
      </w:r>
      <w:r>
        <w:rPr>
          <w:i/>
        </w:rPr>
        <w:t>Abstimmung.</w:t>
      </w:r>
    </w:p>
    <w:p>
      <w:pPr>
        <w:pStyle w:val="Struktur1"/>
      </w:pPr>
      <w:r>
        <w:t>(1)</w:t>
        <w:tab/>
        <w:t>Fasst der Programmausschuss bezüglich eines bestimmten Projekts einen Beschluss oder gibt er dafür eine Empfehlung ab, dann gilt folgendes:</w:t>
      </w:r>
    </w:p>
    <w:p>
      <w:pPr>
        <w:pStyle w:val="Struktur2"/>
      </w:pPr>
      <w:r>
        <w:t>(i)</w:t>
        <w:tab/>
        <w:t>Ist nach dem vorliegenden Übereinkommen Einstimmigkeit erforde</w:t>
      </w:r>
      <w:r>
        <w:t>r</w:t>
      </w:r>
      <w:r>
        <w:t>lich, so handelt er mit Zustimmung der Mitglieder oder Ersatzmitgli</w:t>
      </w:r>
      <w:r>
        <w:t>e</w:t>
      </w:r>
      <w:r>
        <w:t>der, die von den Teilnehmern an diesem Projekt benannt wurden, anw</w:t>
      </w:r>
      <w:r>
        <w:t>e</w:t>
      </w:r>
      <w:r>
        <w:t>send sind und stimmen;</w:t>
      </w:r>
    </w:p>
    <w:p>
      <w:pPr>
        <w:pStyle w:val="Struktur2"/>
      </w:pPr>
      <w:r>
        <w:t>(ii)</w:t>
        <w:tab/>
        <w:t>Wird im vorliegenden Übereinkommen keine ausdrückliche Absti</w:t>
      </w:r>
      <w:r>
        <w:t>m</w:t>
      </w:r>
      <w:r>
        <w:t>mungsregelung getroffen, so handelt er durch Mehrheitsentscheid der Mitglieder oder Ersatzmitglieder, die von den Teilnehmern an diesem Projekt benannt wurden, anwesend sind und stimmen.</w:t>
      </w:r>
    </w:p>
    <w:p>
      <w:pPr>
        <w:pStyle w:val="Struktur1"/>
      </w:pPr>
      <w:r>
        <w:t>(2)</w:t>
        <w:tab/>
        <w:t>In allen andern Fällen, in denen das vorliegende Übereinkommen für B</w:t>
      </w:r>
      <w:r>
        <w:t>e</w:t>
      </w:r>
      <w:r>
        <w:t>schlüsse des Programmausschusses ausdrücklich Einstimmigkeit erfordert, bedarf es der Zustimmung jedes anwesenden und stimmenden Mitglieds oder Ersatzmitglieds, und hinsichtlich aller anderen Entscheidungen und Empfehlungen, für die im vorliegenden Übereinkommen keine ausdrückl</w:t>
      </w:r>
      <w:r>
        <w:t>i</w:t>
      </w:r>
      <w:r>
        <w:t>che Abstimmungsregelung getroffen wird, handelt der Programmausschuss durch Mehrheitsentscheid der anwesenden und stimmenden Mitgli</w:t>
      </w:r>
      <w:r>
        <w:t>e</w:t>
      </w:r>
      <w:r>
        <w:t>der oder Ersatzmitglieder.</w:t>
      </w:r>
    </w:p>
    <w:p>
      <w:pPr>
        <w:pStyle w:val="Struktur1"/>
      </w:pPr>
      <w:r>
        <w:t>(3)</w:t>
        <w:tab/>
        <w:t>Die in den Absätzen (1) und (2) oben genannten Beschlüsse und Empfe</w:t>
      </w:r>
      <w:r>
        <w:t>h</w:t>
      </w:r>
      <w:r>
        <w:t>lungen können mit Zustimmung jedes dazu befugten Mitglieds oder Ersat</w:t>
      </w:r>
      <w:r>
        <w:t>z</w:t>
      </w:r>
      <w:r>
        <w:t>mi</w:t>
      </w:r>
      <w:r>
        <w:t>t</w:t>
      </w:r>
      <w:r>
        <w:t>glieds mittels Post, Fernschreiber oder Telegramm gefasst werden, ohne dass die Einberufung einer Sitzung erforderlich wäre. In einem solchen Fall ist wie bei einer Sitzung die Einstimmigkeit oder Mehrheit dieser Mitglieder e</w:t>
      </w:r>
      <w:r>
        <w:t>r</w:t>
      </w:r>
      <w:r>
        <w:t>forderlich. Der Vorsitzende des Programmausschusses hat dafür zu sorgen, dass alle Mitglieder von allen gemäss dem vorliegenden Absatz getroffenen Beschlüssen oder Empfehlungen verständigt werden.</w:t>
      </w:r>
    </w:p>
    <w:p>
      <w:pPr>
        <w:pStyle w:val="Struktur1"/>
      </w:pPr>
      <w:r>
        <w:t>(4)</w:t>
        <w:tab/>
        <w:t>Hat eine Regierung mehr als eine Vertragschliessende Partei für das vorli</w:t>
      </w:r>
      <w:r>
        <w:t>e</w:t>
      </w:r>
      <w:r>
        <w:t>gende Übereinkommen bezeichnet, so besitzen diese Vertragschliessenden Parteien nach dem vorliegenden Absatz nur eine Stimme.</w:t>
      </w:r>
    </w:p>
    <w:p>
      <w:pPr>
        <w:pStyle w:val="Absatz"/>
      </w:pPr>
      <w:r>
        <w:t>(f)  </w:t>
      </w:r>
      <w:r>
        <w:rPr>
          <w:i/>
        </w:rPr>
        <w:t>Berichterstattung</w:t>
      </w:r>
      <w:r>
        <w:t>. Der Programmausschuss hat der Agentur regelmässig, mi</w:t>
      </w:r>
      <w:r>
        <w:t>n</w:t>
      </w:r>
      <w:r>
        <w:t>destens einmal pro Jahr, über die Fortschritte des Programms Bericht zu erstatten.</w:t>
      </w:r>
    </w:p>
    <w:p>
      <w:pPr>
        <w:pStyle w:val="Heading9"/>
      </w:pPr>
      <w:r>
        <w:rPr>
          <w:b/>
        </w:rPr>
        <w:t>Art. 4</w:t>
      </w:r>
      <w:r>
        <w:tab/>
        <w:t>Die Projektleiter</w:t>
      </w:r>
    </w:p>
    <w:p>
      <w:pPr>
        <w:pStyle w:val="Absatz"/>
      </w:pPr>
      <w:r>
        <w:t>(a)  </w:t>
      </w:r>
      <w:r>
        <w:rPr>
          <w:i/>
        </w:rPr>
        <w:t>Bezeichnung.</w:t>
      </w:r>
      <w:r>
        <w:t xml:space="preserve"> Die Teilnehmer haben in dem einschlägigen Anhang für jedes Projekt einen Projektleiter zu bezeichnen. Bezugnahmen im vorliegenden Überei</w:t>
      </w:r>
      <w:r>
        <w:t>n</w:t>
      </w:r>
      <w:r>
        <w:t>kommen auf den Projektleiter gelten für jeden Projektleiter bezüglich des Projekts, für das er verantwortlich ist.</w:t>
      </w:r>
    </w:p>
    <w:p>
      <w:pPr>
        <w:pStyle w:val="Absatz"/>
      </w:pPr>
      <w:r>
        <w:t>(b)  </w:t>
      </w:r>
      <w:r>
        <w:rPr>
          <w:i/>
        </w:rPr>
        <w:t>Geltungsbereich</w:t>
      </w:r>
      <w:r>
        <w:t xml:space="preserve"> der Handlungsvollmacht im Namen der Teilnehmer. Unter Vorbehalt der Bestimmungen des einschlägigen Anhangs gilt:</w:t>
      </w:r>
    </w:p>
    <w:p>
      <w:pPr>
        <w:pStyle w:val="Struktur1"/>
      </w:pPr>
      <w:r>
        <w:t>(1)</w:t>
        <w:tab/>
        <w:t>Alle für die Durchführung eines Projekts erforderlichen Rechtsgeschäfte sind von dem für das Projekt zuständigen Projektleiter im Namen der Tei</w:t>
      </w:r>
      <w:r>
        <w:t>l</w:t>
      </w:r>
      <w:r>
        <w:t>nehmer abzuschliessen.</w:t>
      </w:r>
    </w:p>
    <w:p>
      <w:pPr>
        <w:pStyle w:val="Struktur1"/>
      </w:pPr>
      <w:r>
        <w:t>(2)</w:t>
        <w:tab/>
        <w:t>Der Projektleiter soll den Rechtsanspruch auf alle Eigentumsrechte, die aus dem Projekt erwachsen oder die dafür erworben werden, zugunsten der Tei</w:t>
      </w:r>
      <w:r>
        <w:t>l</w:t>
      </w:r>
      <w:r>
        <w:t>nehmer innehaben.</w:t>
      </w:r>
    </w:p>
    <w:p>
      <w:pPr>
        <w:pStyle w:val="Absatz"/>
      </w:pPr>
      <w:r>
        <w:t>Der Projektleiter hat das Projekt im Einklang mit den Gesetzen seines Landes unter eigener Aufsicht durchzuführen und die Verantwortung dafür gemäss den Besti</w:t>
      </w:r>
      <w:r>
        <w:t>m</w:t>
      </w:r>
      <w:r>
        <w:t>mungen des vorliegenden Übereinkommens zu übernehmen.</w:t>
      </w:r>
    </w:p>
    <w:p>
      <w:pPr>
        <w:pStyle w:val="Absatz"/>
      </w:pPr>
      <w:r>
        <w:t>(c)  </w:t>
      </w:r>
      <w:r>
        <w:rPr>
          <w:i/>
        </w:rPr>
        <w:t>Kostenvergütung</w:t>
      </w:r>
      <w:r>
        <w:t>. Der Programmausschuss kann bestimmen, dass die einem Projektleiter in seiner Funktion als solchem im Sinne des vorliegenden Überei</w:t>
      </w:r>
      <w:r>
        <w:t>n</w:t>
      </w:r>
      <w:r>
        <w:t>kommens entstandenen Auslagen und Kosten aus den von den Teilnehmern nach Artikel 6 des vorliegenden Übereinkommens zur Verfügung gestellten Geldmitteln vergütet werden.</w:t>
      </w:r>
    </w:p>
    <w:p>
      <w:pPr>
        <w:pStyle w:val="Absatz"/>
      </w:pPr>
      <w:r>
        <w:t>(d)  </w:t>
      </w:r>
      <w:r>
        <w:rPr>
          <w:i/>
        </w:rPr>
        <w:t>Ersetzung.</w:t>
      </w:r>
      <w:r>
        <w:t xml:space="preserve"> Sollte der Programmausschuss wünschen, ein Projektleiter durch e</w:t>
      </w:r>
      <w:r>
        <w:t>i</w:t>
      </w:r>
      <w:r>
        <w:t>ne andere Regierung oder eine andere Körperschaft abzulösen, so kann er mit einsti</w:t>
      </w:r>
      <w:r>
        <w:t>m</w:t>
      </w:r>
      <w:r>
        <w:t>migem Beschluss und mit Zustimmung der betreffenden Regierung oder Körpe</w:t>
      </w:r>
      <w:r>
        <w:t>r</w:t>
      </w:r>
      <w:r>
        <w:t>schaft den bisherigen Projektleiter ersetzen. Hinweise in diesem Übereinkommen auf den «Projektleiter» beziehen sich auf alle Regierungen oder Körperschaften, die dazu bestellt wurden, den ursprünglichen Projektleiter gemäss dem vorliegenden Absatz abzulösen.</w:t>
      </w:r>
    </w:p>
    <w:p>
      <w:pPr>
        <w:pStyle w:val="Absatz"/>
      </w:pPr>
      <w:r>
        <w:t>(e)  </w:t>
      </w:r>
      <w:r>
        <w:rPr>
          <w:i/>
        </w:rPr>
        <w:t>Rücktritt.</w:t>
      </w:r>
      <w:r>
        <w:t xml:space="preserve"> Ein Projektleiter hat das Recht, jederzeit zurückzutreten, indem er den Programmausschuss sechs Monate im voraus davon schriftlich benachrichtigt, unter der Voraussetzung, dass</w:t>
      </w:r>
    </w:p>
    <w:p>
      <w:pPr>
        <w:pStyle w:val="Struktur1"/>
      </w:pPr>
      <w:r>
        <w:t>(1)</w:t>
        <w:tab/>
        <w:t>ein Teilnehmer oder eine von einem Teilnehmer bezeichnete Körperschaft zum betreffenden Zeitpunkt bereit ist, die Pflichten und Obliegenheiten des Projektleiters zu übernehmen und den Programmausschuss und die anderen Teilnehmer spätestens drei Monate vor dem Zeitpunkt des Inkrafttretens des Rücktritts schriftlich davon unterrichtet, und dass</w:t>
      </w:r>
    </w:p>
    <w:p>
      <w:pPr>
        <w:pStyle w:val="Struktur1"/>
      </w:pPr>
      <w:r>
        <w:t>(2)</w:t>
        <w:tab/>
        <w:t>diesem Teilnehmer oder dieser Körperschaft vom Programmausschuss ei</w:t>
      </w:r>
      <w:r>
        <w:t>n</w:t>
      </w:r>
      <w:r>
        <w:t>stimmig die Zustimmung erteilt wird.</w:t>
      </w:r>
    </w:p>
    <w:p>
      <w:pPr>
        <w:pStyle w:val="Absatz"/>
      </w:pPr>
      <w:r>
        <w:t>(f)  </w:t>
      </w:r>
      <w:r>
        <w:rPr>
          <w:i/>
        </w:rPr>
        <w:t xml:space="preserve">Rechnungslegung. </w:t>
      </w:r>
      <w:r>
        <w:t>Ein Projektleiter, der, ersetzt wird oder als Projektleiter z</w:t>
      </w:r>
      <w:r>
        <w:t>u</w:t>
      </w:r>
      <w:r>
        <w:t>rücktritt, hat dem Programmausschuss über alle Geldmittel und sonstigen Aktiva, die er im Laufe der Durchführung seiner Aufgaben als Projektleiter für das Projekt ei</w:t>
      </w:r>
      <w:r>
        <w:t>n</w:t>
      </w:r>
      <w:r>
        <w:t>genommen oder erworben hat, Rechnung abzulegen.</w:t>
      </w:r>
    </w:p>
    <w:p>
      <w:pPr>
        <w:pStyle w:val="Absatz"/>
      </w:pPr>
      <w:r>
        <w:t>(g)  </w:t>
      </w:r>
      <w:r>
        <w:rPr>
          <w:i/>
        </w:rPr>
        <w:t xml:space="preserve">Übertragung von Rechten. </w:t>
      </w:r>
      <w:r>
        <w:t>Wird nach den Absätzen (d) oder (e) oben ein and</w:t>
      </w:r>
      <w:r>
        <w:t>e</w:t>
      </w:r>
      <w:r>
        <w:t>rer Projektleiter bestellt, so hat der bisherige Projektleiter dem ablösenden Projek</w:t>
      </w:r>
      <w:r>
        <w:t>t</w:t>
      </w:r>
      <w:r>
        <w:t>leiter alle Eigentumsrechte zu übertragen, die er für das Projekt besitzt.</w:t>
      </w:r>
    </w:p>
    <w:p>
      <w:pPr>
        <w:pStyle w:val="Heading9"/>
      </w:pPr>
      <w:r>
        <w:rPr>
          <w:b/>
        </w:rPr>
        <w:t>Art. 5</w:t>
        <w:tab/>
      </w:r>
      <w:r>
        <w:t>Verwaltung und Personal</w:t>
      </w:r>
    </w:p>
    <w:p>
      <w:pPr>
        <w:pStyle w:val="Absatz"/>
      </w:pPr>
      <w:r>
        <w:t>(a)  </w:t>
      </w:r>
      <w:r>
        <w:rPr>
          <w:i/>
        </w:rPr>
        <w:t xml:space="preserve">Projektleitung. </w:t>
      </w:r>
      <w:r>
        <w:t>Jeder Projektleiter ist dem Programmausschuss für die Durchfü</w:t>
      </w:r>
      <w:r>
        <w:t>h</w:t>
      </w:r>
      <w:r>
        <w:t>rung des ihm übertragenen Projekts im Sinne des vorliegenden Übereinko</w:t>
      </w:r>
      <w:r>
        <w:t>m</w:t>
      </w:r>
      <w:r>
        <w:t>mens, des einschlägigen das Projekt betreffenden Anhangs sowie der Beschlüsse des Pr</w:t>
      </w:r>
      <w:r>
        <w:t>o</w:t>
      </w:r>
      <w:r>
        <w:t>grammausschusses verantwortlich.</w:t>
      </w:r>
    </w:p>
    <w:p>
      <w:pPr>
        <w:pStyle w:val="Absatz"/>
      </w:pPr>
      <w:r>
        <w:t>(b)  </w:t>
      </w:r>
      <w:r>
        <w:rPr>
          <w:i/>
        </w:rPr>
        <w:t xml:space="preserve">Information und Berichterstattung. </w:t>
      </w:r>
      <w:r>
        <w:t>Jeder Projektleiter hat dem Programmau</w:t>
      </w:r>
      <w:r>
        <w:t>s</w:t>
      </w:r>
      <w:r>
        <w:t>schuss die Informationen über das Projekt zu geben, die der Ausschuss anfordert, und ihm alljährlich spätestens zwei Monate nach Ende des Finanzjahrs einen Bericht über den Zustand des Projekts vorzulegen.</w:t>
      </w:r>
    </w:p>
    <w:p>
      <w:pPr>
        <w:pStyle w:val="Absatz"/>
      </w:pPr>
      <w:r>
        <w:t>(c)  </w:t>
      </w:r>
      <w:r>
        <w:rPr>
          <w:i/>
        </w:rPr>
        <w:t xml:space="preserve">Personal. </w:t>
      </w:r>
      <w:r>
        <w:t>Es ist die Aufgabe des Projektleiters, das für die Durchführung des ihm übertragenen Projekts erforderliche Personal gemäss den vom Programmau</w:t>
      </w:r>
      <w:r>
        <w:t>s</w:t>
      </w:r>
      <w:r>
        <w:t>schuss erlassenen Bestimmungen anzustellen. Der Projektleiter kann auch gegeb</w:t>
      </w:r>
      <w:r>
        <w:t>e</w:t>
      </w:r>
      <w:r>
        <w:t>nenfalls die Dienste von Personal in Anspruch nehmen, das von anderen Teilne</w:t>
      </w:r>
      <w:r>
        <w:t>h</w:t>
      </w:r>
      <w:r>
        <w:t>mern (oder Organisationen oder sonstigen von den Vertragschliessenden Parteien bezeichneten Körperschaften) angestellt ist und dem Projektleiter im Untervertrag oder auf andere Weise zur Verfügung gestellt wird. Dieses Personal ist von seinen jeweiligen Arbeitgebern zu besolden und untersteht, sofern der vorliegende Artikel nicht etwas anderes vorsieht, den Dienstbedingungen seiner Arbeitgeber. Die Ve</w:t>
      </w:r>
      <w:r>
        <w:t>r</w:t>
      </w:r>
      <w:r>
        <w:t>tragschliessenden Parteien sind berechtigt, die angemessenen Kosten dieser Beso</w:t>
      </w:r>
      <w:r>
        <w:t>l</w:t>
      </w:r>
      <w:r>
        <w:t>dung als einen Teil des Projektbudgets nach Artikel 6 Absatz (f) Ziffer (6) des vorliegenden Übereinkommens einzufordern oder für diese Kosten eine entspr</w:t>
      </w:r>
      <w:r>
        <w:t>e</w:t>
      </w:r>
      <w:r>
        <w:t>chende Gutschrift zu erhalten.</w:t>
      </w:r>
    </w:p>
    <w:p>
      <w:pPr>
        <w:pStyle w:val="Heading9"/>
      </w:pPr>
      <w:r>
        <w:rPr>
          <w:b/>
        </w:rPr>
        <w:t>Art. 6</w:t>
        <w:tab/>
      </w:r>
      <w:r>
        <w:t>Finanzielle Regelungen</w:t>
      </w:r>
    </w:p>
    <w:p>
      <w:pPr>
        <w:pStyle w:val="Absatz"/>
      </w:pPr>
      <w:r>
        <w:t>(a)  </w:t>
      </w:r>
      <w:r>
        <w:rPr>
          <w:i/>
        </w:rPr>
        <w:t xml:space="preserve">Verpflichtungen der einzelnen Vertragschliessenden Parteien. </w:t>
      </w:r>
      <w:r>
        <w:t>Jeder Teilnehmer hat die ihm aus der Durchführung des vorliegenden Übereinkommens entstehenden Kosten zu tragen, einschliesslich der Kosten für die Erstellung oder Übermittlung von Berichten und für die Vergütung der seinen Angestellten im Zusammenhang mit der Durchführung des jeweiligen Projekts entstandenen Reise</w:t>
      </w:r>
      <w:r>
        <w:noBreakHyphen/>
        <w:t xml:space="preserve"> und sonstigen Sp</w:t>
      </w:r>
      <w:r>
        <w:t>e</w:t>
      </w:r>
      <w:r>
        <w:t>sen, es sei denn, es werde für solche Ausgaben bestimmt, dass sie aus den in Absatz (g) unten genannten gemeinsamen Mitteln zu vergüten sind.</w:t>
      </w:r>
    </w:p>
    <w:p>
      <w:pPr>
        <w:pStyle w:val="Absatz"/>
      </w:pPr>
      <w:r>
        <w:t>(b)  </w:t>
      </w:r>
      <w:r>
        <w:rPr>
          <w:i/>
        </w:rPr>
        <w:t xml:space="preserve">Gemeinsame finanzielle Verpflichtungen. </w:t>
      </w:r>
      <w:r>
        <w:t>Teilnehmer, die einen Teil der Kosten an einem bestimmten Projekt mittragen wollen, haben dies in dem jeweiligen das Projekt betreffenden Anhang zu vereinbaren. Die Aufteilung solcher Kostenbeiträge (in Form von Bargeld, Dienstleistungen, geistigem Eigentum oder Lieferung von Material) und die Verwendung dieser Beiträge unterliegt den vom Programmau</w:t>
      </w:r>
      <w:r>
        <w:t>s</w:t>
      </w:r>
      <w:r>
        <w:t>schuss gemäss dem vorliegenden Artikel getroffenen Vorschriften und Beschlüssen.</w:t>
      </w:r>
    </w:p>
    <w:p>
      <w:pPr>
        <w:pStyle w:val="Absatz"/>
      </w:pPr>
      <w:r>
        <w:t>(c)  </w:t>
      </w:r>
      <w:r>
        <w:rPr>
          <w:i/>
        </w:rPr>
        <w:t xml:space="preserve">Finanzielle Regelungen, Ausgaben. </w:t>
      </w:r>
      <w:r>
        <w:t>Der Programmausschuss kann mit einsti</w:t>
      </w:r>
      <w:r>
        <w:t>m</w:t>
      </w:r>
      <w:r>
        <w:t>migem Beschluss die zur ordnungsgemässen Verwaltung der Finanzen für jedes Pr</w:t>
      </w:r>
      <w:r>
        <w:t>o</w:t>
      </w:r>
      <w:r>
        <w:t>jekt erforderlichen Vorschriften erlassen, die nötigenfalls folgendes enthalten:</w:t>
      </w:r>
    </w:p>
    <w:p>
      <w:pPr>
        <w:pStyle w:val="Struktur1"/>
      </w:pPr>
      <w:r>
        <w:t>(1)</w:t>
        <w:tab/>
        <w:t>Aufstellung der Budget</w:t>
      </w:r>
      <w:r>
        <w:noBreakHyphen/>
        <w:t xml:space="preserve"> und Beschaffungsverfahren, deren sich der Projek</w:t>
      </w:r>
      <w:r>
        <w:t>t</w:t>
      </w:r>
      <w:r>
        <w:t>leiter bei Zahlungen aus einem gemeinsamen Fonds, der von den Teilne</w:t>
      </w:r>
      <w:r>
        <w:t>h</w:t>
      </w:r>
      <w:r>
        <w:t>mern für das Projekt unterhalten wird, oder beim Abschluss von Verträgen im Namen der Teilnehmer zu bedienen hat.</w:t>
      </w:r>
    </w:p>
    <w:p>
      <w:pPr>
        <w:pStyle w:val="Struktur1"/>
      </w:pPr>
      <w:r>
        <w:t>(2)</w:t>
        <w:tab/>
        <w:t>Festsetzung einer Ausgabenhöhe, von der an die Zustimmung des Pr</w:t>
      </w:r>
      <w:r>
        <w:t>o</w:t>
      </w:r>
      <w:r>
        <w:t>grammausschusses erforderlich ist, einschliesslich der Ausgaben, welche die Auszahlung von Geldern an den Projektleiter für andere Aufwendungen als die üblichen Gehalts</w:t>
      </w:r>
      <w:r>
        <w:noBreakHyphen/>
        <w:t xml:space="preserve"> und Verwaltungsausgaben umfassen, die bereits vo</w:t>
      </w:r>
      <w:r>
        <w:t>r</w:t>
      </w:r>
      <w:r>
        <w:t>her vom Programmausschuss bei der Aufstellung des Budgets genehmigt worden waren.</w:t>
      </w:r>
    </w:p>
    <w:p>
      <w:pPr>
        <w:pStyle w:val="Absatz"/>
      </w:pPr>
      <w:r>
        <w:t>Der Projektleiter hat bei Ausgaben aus gemeinsamen Mitteln die Notwendigkeit zu berücksichtigen, für eine gerechte Verteilung solcher Ausgaben in den Ländern der Teilnehmer zu sorgen, sofern sich dies mit der möglichst wirksamen technischen und finanziellen Führung des Projekts vollkommen vereinbaren lässt.</w:t>
      </w:r>
    </w:p>
    <w:p>
      <w:pPr>
        <w:pStyle w:val="Absatz"/>
      </w:pPr>
      <w:r>
        <w:t>(d)  </w:t>
      </w:r>
      <w:r>
        <w:rPr>
          <w:i/>
        </w:rPr>
        <w:t xml:space="preserve">Gutschrift von Einkünften zugunsten des Budgets. </w:t>
      </w:r>
      <w:r>
        <w:t>Alle Einkünfte, die aus einem Projekt erwachsen, sind dem Budget dieses Projekts gutzuschreiben.</w:t>
      </w:r>
    </w:p>
    <w:p>
      <w:pPr>
        <w:pStyle w:val="Absatz"/>
      </w:pPr>
      <w:r>
        <w:t>(e)  </w:t>
      </w:r>
      <w:r>
        <w:rPr>
          <w:i/>
        </w:rPr>
        <w:t xml:space="preserve">Buchführung. </w:t>
      </w:r>
      <w:r>
        <w:t>Das vom Projektleiter angewandte Buchführungssystem muss den in seinem Land allgemein anerkannten Buchführungsgrundsätzen entsprechen und ist durchwegs anzuwenden.</w:t>
      </w:r>
    </w:p>
    <w:p>
      <w:pPr>
        <w:pStyle w:val="Absatz"/>
      </w:pPr>
      <w:r>
        <w:t>(f)  </w:t>
      </w:r>
      <w:r>
        <w:rPr>
          <w:i/>
        </w:rPr>
        <w:t xml:space="preserve">Arbeitsprogramm und Budget, Buchhaltung. </w:t>
      </w:r>
      <w:r>
        <w:t>Sollten die Teilnehmer vereinb</w:t>
      </w:r>
      <w:r>
        <w:t>a</w:t>
      </w:r>
      <w:r>
        <w:t>ren, einen gemeinsamen Fonds für die Begleichung von Verpflichtungen im Rahmen eines Arbeitsprogramms und Budgets des Projekts zu unterhalten, so sind die B</w:t>
      </w:r>
      <w:r>
        <w:t>ü</w:t>
      </w:r>
      <w:r>
        <w:t>cher wie folgt zu führen, es sei denn, der Programmausschuss habe einstimmig etwas a</w:t>
      </w:r>
      <w:r>
        <w:t>n</w:t>
      </w:r>
      <w:r>
        <w:t>deres beschlossen:</w:t>
      </w:r>
    </w:p>
    <w:p>
      <w:pPr>
        <w:pStyle w:val="Struktur1"/>
      </w:pPr>
      <w:r>
        <w:t>(1)</w:t>
        <w:tab/>
        <w:t>Das Finanzjahr des Projekts entspricht dem Finanzjahr des Projektleiters.</w:t>
      </w:r>
    </w:p>
    <w:p>
      <w:pPr>
        <w:pStyle w:val="Struktur1"/>
      </w:pPr>
      <w:r>
        <w:t>(2)</w:t>
        <w:tab/>
        <w:t>Bis spätestens drei Monate vor Beginn jedes Finanzjahrs hat der Projektle</w:t>
      </w:r>
      <w:r>
        <w:t>i</w:t>
      </w:r>
      <w:r>
        <w:t>ter den Entwurf eines Arbeitsprogramms und Budgets zusammen mit einem Arbeitsgrobprogramm und Budget für die folgenden zwei Jahre zu erstellen und dem Programmausschuss zur Genehmigung zu unterbreiten.</w:t>
      </w:r>
    </w:p>
    <w:p>
      <w:pPr>
        <w:pStyle w:val="Struktur1"/>
      </w:pPr>
      <w:r>
        <w:t>(3)</w:t>
        <w:tab/>
        <w:t>Der Projektleiter hat vollständige, getrennte Finanzaufzeichnungen zu fü</w:t>
      </w:r>
      <w:r>
        <w:t>h</w:t>
      </w:r>
      <w:r>
        <w:t>ren, die alle Geldmittel und Eigentumswerte eindeutig auszuweisen haben, welche im Zusammenhang mit dem Projekt in die Obhut oder in den Besitz des Projektleiters gelangen.</w:t>
      </w:r>
    </w:p>
    <w:p>
      <w:pPr>
        <w:pStyle w:val="Struktur1"/>
      </w:pPr>
      <w:r>
        <w:t>(4)</w:t>
        <w:tab/>
        <w:t>Spätestens drei Monate nach Ablauf jedes Finanzjahres hat der Projektleiter den vom Programmausschuss bestimmten Rechnungsprüfern die für das Pr</w:t>
      </w:r>
      <w:r>
        <w:t>o</w:t>
      </w:r>
      <w:r>
        <w:t>jekt geführte Jahresabrechnung zur Prüfung vorzulegen; nach Beendigung der alljährlichen Rechnungsprüfung hat der Projektleiter die Bücher sowie den Bericht der Rechnungsprüfer dem Programmausschuss zur Genehm</w:t>
      </w:r>
      <w:r>
        <w:t>i</w:t>
      </w:r>
      <w:r>
        <w:t>gung vorzulegen.</w:t>
      </w:r>
    </w:p>
    <w:p>
      <w:pPr>
        <w:pStyle w:val="Struktur1"/>
      </w:pPr>
      <w:r>
        <w:t>(5)</w:t>
        <w:tab/>
        <w:t>Alle vom Projektleiter geführten Bücher und Aufzeichnungen sind noch mindestens drei Jahre nach dem Zeitpunkt der Beendigung des Projekts au</w:t>
      </w:r>
      <w:r>
        <w:t>f</w:t>
      </w:r>
      <w:r>
        <w:t>zubewahren.</w:t>
      </w:r>
    </w:p>
    <w:p>
      <w:pPr>
        <w:pStyle w:val="Struktur1"/>
      </w:pPr>
      <w:r>
        <w:t>(6)</w:t>
        <w:tab/>
        <w:t>Wo es der einschlägige Anhang vorsieht, hat ein Teilnehmer, der dem Pr</w:t>
      </w:r>
      <w:r>
        <w:t>o</w:t>
      </w:r>
      <w:r>
        <w:t>jekt Dienstleistungen, Material oder geistiges Eigentum zur Verfügung stellt, einen Anspruch auf eine vom Programmausschuss einstimmig festgesetzte Anrechnung an seinen Beitrag (oder auf eine Vergütung, falls der Wert der betreffenden Dienstleistungen, des Materials oder des geistigen Eigentums die Höhe des Beitrags des Teilnehmers übersteigt); solche Anrechnungen für Dienstleistungen des Personals werden nach einem vom Programmausschuss genehmigten, vereinbarten Tarif berechnet und haben auch sämtliche Lohn</w:t>
      </w:r>
      <w:r>
        <w:noBreakHyphen/>
        <w:t>, nebenkosten zu berücksichtigen.</w:t>
      </w:r>
    </w:p>
    <w:p>
      <w:pPr>
        <w:pStyle w:val="Absatz"/>
      </w:pPr>
      <w:r>
        <w:t>(g)  </w:t>
      </w:r>
      <w:r>
        <w:rPr>
          <w:i/>
        </w:rPr>
        <w:t>Beitragsleistung zu den gemeinsamen Mitteln.</w:t>
      </w:r>
      <w:r>
        <w:t xml:space="preserve"> Sollten die Teilnehmer die E</w:t>
      </w:r>
      <w:r>
        <w:t>r</w:t>
      </w:r>
      <w:r>
        <w:t>richtung eines gemeinsamen Fonds im Rahmen des jährlichen Arbeitsprogramms und Budgets für ein Projekt vereinbaren, so sind die seitens der Teilnehmer an e</w:t>
      </w:r>
      <w:r>
        <w:t>i</w:t>
      </w:r>
      <w:r>
        <w:t>nem Projekt geschuldeten Beiträge an den Projektleiter in der Währung seines La</w:t>
      </w:r>
      <w:r>
        <w:t>n</w:t>
      </w:r>
      <w:r>
        <w:t>des und unter Einhaltung der vom Programmausschuss einstimmig festgesetzten Term</w:t>
      </w:r>
      <w:r>
        <w:t>i</w:t>
      </w:r>
      <w:r>
        <w:t>ne und sonstigen Bedingungen zu bezahlen, dies jedoch unter folgenden Vorausse</w:t>
      </w:r>
      <w:r>
        <w:t>t</w:t>
      </w:r>
      <w:r>
        <w:t>zungen:</w:t>
      </w:r>
    </w:p>
    <w:p>
      <w:pPr>
        <w:pStyle w:val="Struktur1"/>
      </w:pPr>
      <w:r>
        <w:t>(1)</w:t>
        <w:tab/>
        <w:t>Die beim Projektleiter eingehenden Beiträge dürfen ausschliesslich in Übe</w:t>
      </w:r>
      <w:r>
        <w:t>r</w:t>
      </w:r>
      <w:r>
        <w:t>einstimmung mit dem Arbeitsprogramm und dem Budget für das Projekt verwendet werden.</w:t>
      </w:r>
    </w:p>
    <w:p>
      <w:pPr>
        <w:pStyle w:val="Struktur1"/>
      </w:pPr>
      <w:r>
        <w:t>(2)</w:t>
        <w:tab/>
        <w:t>Für den Projektleiter besteht erst dann eine Verpflichtung, Arbeiten am Pr</w:t>
      </w:r>
      <w:r>
        <w:t>o</w:t>
      </w:r>
      <w:r>
        <w:t>jekt durchzuführen, wenn Beiträge im Ausmass von mindestens 50 Prozent (in bar) des jeweils fälligen Gesamtbetrags eingegangen sind.</w:t>
      </w:r>
    </w:p>
    <w:p>
      <w:pPr>
        <w:pStyle w:val="Absatz"/>
      </w:pPr>
      <w:r>
        <w:t>(h)  </w:t>
      </w:r>
      <w:r>
        <w:rPr>
          <w:i/>
        </w:rPr>
        <w:t>Hilfsdienste</w:t>
      </w:r>
      <w:r>
        <w:t>. Nach Übereinkunft zwischen dem Programmausschuss und dem Projektleiter kann dieser für die Durchführung eines Projekts Hilfsdienste besorgen, wobei deren Kosten, einschliesslich der damit zusammenhängenden allgemeinen Unkosten, aus den budgetierten Mitteln für dieses Projekt beglichen werden können.</w:t>
      </w:r>
    </w:p>
    <w:p>
      <w:pPr>
        <w:pStyle w:val="Absatz"/>
      </w:pPr>
      <w:r>
        <w:t>(i)  </w:t>
      </w:r>
      <w:r>
        <w:rPr>
          <w:i/>
        </w:rPr>
        <w:t>Steuern.</w:t>
      </w:r>
      <w:r>
        <w:t xml:space="preserve"> Der Projektleiter hat alle von der Regierung oder den Gemeinden erh</w:t>
      </w:r>
      <w:r>
        <w:t>o</w:t>
      </w:r>
      <w:r>
        <w:t>benen Steuern und ähnlichen Abgaben (ausser Einkommensteuern), die ihm im Zusammenhang mit einem Projekt auferlegt werden, als im Rahmen des Budgets wä</w:t>
      </w:r>
      <w:r>
        <w:t>h</w:t>
      </w:r>
      <w:r>
        <w:t>rend der Durchführung dieses Projekts entstandene Auslagen zu entrichten. Der Projektleiter hat jedoch danach zu trachten, die grösstmögliche Befreiung von so</w:t>
      </w:r>
      <w:r>
        <w:t>l</w:t>
      </w:r>
      <w:r>
        <w:t>chen Steuern zu erwirken.</w:t>
      </w:r>
    </w:p>
    <w:p>
      <w:pPr>
        <w:pStyle w:val="Absatz"/>
      </w:pPr>
      <w:r>
        <w:t>(j)  </w:t>
      </w:r>
      <w:r>
        <w:rPr>
          <w:i/>
        </w:rPr>
        <w:t>Buchprüfung.</w:t>
      </w:r>
      <w:r>
        <w:t xml:space="preserve"> Jeder Teilnehmer ist berechtigt, die Buchführung bei allen Arbe</w:t>
      </w:r>
      <w:r>
        <w:t>i</w:t>
      </w:r>
      <w:r>
        <w:t>ten an einem Projekt, für die gemeinsame Geldmittel aufgebracht werden, unter fo</w:t>
      </w:r>
      <w:r>
        <w:t>l</w:t>
      </w:r>
      <w:r>
        <w:t>genden Bedingungen auf seine alleinigen Kosten zu prüfen:</w:t>
      </w:r>
    </w:p>
    <w:p>
      <w:pPr>
        <w:pStyle w:val="Struktur1"/>
      </w:pPr>
      <w:r>
        <w:t>(1)</w:t>
        <w:tab/>
        <w:t>Der Projektleiter muss den anderen Teilnehmern die Möglichkeit geben, an solchen Buchprüfungen auf Kostenteilungsbasis teilzunehmen.</w:t>
      </w:r>
    </w:p>
    <w:p>
      <w:pPr>
        <w:pStyle w:val="Struktur1"/>
      </w:pPr>
      <w:r>
        <w:t>(2)</w:t>
        <w:tab/>
        <w:t>Bücher und Aufzeichnungen über Tätigkeiten des Projektleiters, die nicht für das Projekt durchgeführt werden, sind aus einer solchen Rechnungspr</w:t>
      </w:r>
      <w:r>
        <w:t>ü</w:t>
      </w:r>
      <w:r>
        <w:t>fung auszuschliessen, verlangt aber der betreffende Teilnehmer eine Übe</w:t>
      </w:r>
      <w:r>
        <w:t>r</w:t>
      </w:r>
      <w:r>
        <w:t>prüfung von Budgelbelastungsposten, die auf Dienstleistungen des Projek</w:t>
      </w:r>
      <w:r>
        <w:t>t</w:t>
      </w:r>
      <w:r>
        <w:t>leiters für das Projekt zurückgehen, dann kann er auf eigene Kosten von den Rec</w:t>
      </w:r>
      <w:r>
        <w:t>h</w:t>
      </w:r>
      <w:r>
        <w:t>nungsprüfern des Projektleiters eine entsprechende Prüfungsbescheinigung einholen.</w:t>
      </w:r>
    </w:p>
    <w:p>
      <w:pPr>
        <w:pStyle w:val="Struktur1"/>
      </w:pPr>
      <w:r>
        <w:t>(3)</w:t>
        <w:tab/>
        <w:t>Für jedes Kalenderjahr darf höchstens eine solche Buchprüfung verlangt werden.</w:t>
      </w:r>
    </w:p>
    <w:p>
      <w:pPr>
        <w:pStyle w:val="Struktur1"/>
      </w:pPr>
      <w:r>
        <w:t>(4)</w:t>
        <w:tab/>
        <w:t>Jede solche Buchprüfung darf von höchstens drei Vertretern der Teilnehmer durchgeführt werden.</w:t>
      </w:r>
    </w:p>
    <w:p>
      <w:pPr>
        <w:pStyle w:val="Heading9"/>
      </w:pPr>
      <w:r>
        <w:rPr>
          <w:b/>
        </w:rPr>
        <w:t>Art. 7</w:t>
        <w:tab/>
      </w:r>
      <w:r>
        <w:t>Information</w:t>
      </w:r>
      <w:r>
        <w:rPr>
          <w:b/>
        </w:rPr>
        <w:t xml:space="preserve"> </w:t>
      </w:r>
      <w:r>
        <w:t>und geistiges Eigentum</w:t>
      </w:r>
    </w:p>
    <w:p>
      <w:pPr>
        <w:pStyle w:val="Absatz"/>
      </w:pPr>
      <w:r>
        <w:t>Es wird erwartet, dass für jedes gemäss dem vorliegenden Übereinkommen verei</w:t>
      </w:r>
      <w:r>
        <w:t>n</w:t>
      </w:r>
      <w:r>
        <w:t>barte Projekt der einschlägige Anhang Bestimmungen über Information und geist</w:t>
      </w:r>
      <w:r>
        <w:t>i</w:t>
      </w:r>
      <w:r>
        <w:t>ges Eigentum enthält. Die vom Verwaltungsrat der Agentur am 21. November 1975 genehmigten Allgemeinen Richtlinien über Information und geistiges Eigentum sind bei der Ausarbeitung solcher Bestimmungen zu berücksichtigen.</w:t>
      </w:r>
    </w:p>
    <w:p>
      <w:pPr>
        <w:pStyle w:val="Heading9"/>
      </w:pPr>
      <w:r>
        <w:rPr>
          <w:b/>
        </w:rPr>
        <w:t>Art. 8</w:t>
        <w:tab/>
      </w:r>
      <w:r>
        <w:t>Gesetzliche Haftung und Versicherung</w:t>
      </w:r>
    </w:p>
    <w:p>
      <w:pPr>
        <w:pStyle w:val="Absatz"/>
      </w:pPr>
      <w:r>
        <w:t>(a)  </w:t>
      </w:r>
      <w:r>
        <w:rPr>
          <w:i/>
        </w:rPr>
        <w:t xml:space="preserve">Die Haftung des Projektleiters. </w:t>
      </w:r>
      <w:r>
        <w:t>Der Projektleiter hat bei der Erfüllung seiner Aufgaben im Rahmen des vorliegenden Übereinkommens in jeder Hinsicht mit der angemessenen Sorgfalt und Umsicht unter Einhaltung aller einschlägigen Gesetze und Vorschriften vorzugehen. Sofern im vorliegenden Artikel keine andere Reg</w:t>
      </w:r>
      <w:r>
        <w:t>e</w:t>
      </w:r>
      <w:r>
        <w:t>lung getroffen wird, gehen die Kosten aller Sachschäden sowie alle mit Forderungen und Klagen verbundenen Ausgaben und sonstigen Kosten, die aus Arbeiten entst</w:t>
      </w:r>
      <w:r>
        <w:t>e</w:t>
      </w:r>
      <w:r>
        <w:t>hen, welche mit den gemeinsamen Geldmitteln für ein Projekt durchgeführt werden, zu Lasten des Budgets dieses Projekts; diejenigen Kosten und Auslagen, die aus a</w:t>
      </w:r>
      <w:r>
        <w:t>n</w:t>
      </w:r>
      <w:r>
        <w:t>deren für ein Projekt durchgeführten Arbeiten erwachsen, sind dem Budget dieses Projekts zu belasten, falls der für dieses Projekt massgebliche Anhang dies vorsieht oder der Programmausschuss einstimmig eine dahingehende Entscheidung trifft.</w:t>
      </w:r>
    </w:p>
    <w:p>
      <w:pPr>
        <w:pStyle w:val="Absatz"/>
      </w:pPr>
      <w:r>
        <w:t>(b)  </w:t>
      </w:r>
      <w:r>
        <w:rPr>
          <w:i/>
        </w:rPr>
        <w:t xml:space="preserve">Versicherungen. </w:t>
      </w:r>
      <w:r>
        <w:t>Der Projektleiter hat dem Programmausschuss alle erforderl</w:t>
      </w:r>
      <w:r>
        <w:t>i</w:t>
      </w:r>
      <w:r>
        <w:t>chen Haftpflicht</w:t>
      </w:r>
      <w:r>
        <w:noBreakHyphen/>
        <w:t>, Brandschaden</w:t>
      </w:r>
      <w:r>
        <w:noBreakHyphen/>
        <w:t xml:space="preserve"> und sonstigen Versicherungen vorzuschlagen und die entsprechenden Versicherungen nach Weisung des Programmausschusses zu unterhalten. Die Kosten des Abschlusses und der Aufrechterhaltung von Versich</w:t>
      </w:r>
      <w:r>
        <w:t>e</w:t>
      </w:r>
      <w:r>
        <w:t>rungen sind dem Budget des Projekts zu belasten.</w:t>
      </w:r>
    </w:p>
    <w:p>
      <w:pPr>
        <w:pStyle w:val="Absatz"/>
      </w:pPr>
      <w:r>
        <w:t>(c)  </w:t>
      </w:r>
      <w:r>
        <w:rPr>
          <w:i/>
        </w:rPr>
        <w:t xml:space="preserve">Entschädigung Vertragschliessender Parteien. </w:t>
      </w:r>
      <w:r>
        <w:t>Der Projektleiter ist in seiner Eigenschaft als solcher verpflichtet, die Teilnehmer für die Kosten aller Sachsch</w:t>
      </w:r>
      <w:r>
        <w:t>ä</w:t>
      </w:r>
      <w:r>
        <w:t>den sowie alle damit in Verbindung stehenden gesetzlichen Haftungen, Klagen, Ford</w:t>
      </w:r>
      <w:r>
        <w:t>e</w:t>
      </w:r>
      <w:r>
        <w:t>rungen, Kosten und Aufwendungen schadlos zu halten, sofern diese</w:t>
      </w:r>
    </w:p>
    <w:p>
      <w:pPr>
        <w:pStyle w:val="Struktur1"/>
      </w:pPr>
      <w:r>
        <w:t>(1)</w:t>
        <w:tab/>
        <w:t>daraus entstehen, dass es der Projektleiter versäumt, eine Versicherung au</w:t>
      </w:r>
      <w:r>
        <w:t>f</w:t>
      </w:r>
      <w:r>
        <w:t>rechtzuerhalten, die ihm nach Absatz (b) oben obliegen könnte, oder</w:t>
      </w:r>
    </w:p>
    <w:p>
      <w:pPr>
        <w:pStyle w:val="Struktur1"/>
      </w:pPr>
      <w:r>
        <w:t>(2)</w:t>
        <w:tab/>
        <w:t>aus grober Fahrlässigkeit oder vorsätzlichem Fehlverhalten seitens Beamter oder Angestellter des Projektleiters bei der Durchführung seiner Aufgaben im Rahmen dieses Übereinkommens erwachsen.</w:t>
      </w:r>
    </w:p>
    <w:p>
      <w:pPr>
        <w:pStyle w:val="Heading9"/>
      </w:pPr>
      <w:r>
        <w:rPr>
          <w:b/>
        </w:rPr>
        <w:t>Art. 9</w:t>
        <w:tab/>
      </w:r>
      <w:r>
        <w:t>Rechtliche Bestimmungen</w:t>
      </w:r>
    </w:p>
    <w:p>
      <w:pPr>
        <w:pStyle w:val="Absatz"/>
      </w:pPr>
      <w:r>
        <w:t>(a)  </w:t>
      </w:r>
      <w:r>
        <w:rPr>
          <w:i/>
        </w:rPr>
        <w:t>Erledigung von Formalitäten</w:t>
      </w:r>
      <w:r>
        <w:t>. Jeder Teilnehmer hat sich im Rahmen der ei</w:t>
      </w:r>
      <w:r>
        <w:t>n</w:t>
      </w:r>
      <w:r>
        <w:t>schlägigen gesetzlichen Bestimmungen nach besten Kräften zu bemühen, die Erled</w:t>
      </w:r>
      <w:r>
        <w:t>i</w:t>
      </w:r>
      <w:r>
        <w:t>gung der Formalitäten zu erleichtern, die mit den zur Durchführung des Projekts, an dem er beteiligt ist, erforderlichen Ortsveränderungen von Personen, Einfuhren von Material und Ausrüstungsgegenständen sowie mit Geldüberweisungen verbunden sind.</w:t>
      </w:r>
    </w:p>
    <w:p>
      <w:pPr>
        <w:pStyle w:val="Absatz"/>
      </w:pPr>
      <w:r>
        <w:t>(b)  </w:t>
      </w:r>
      <w:r>
        <w:rPr>
          <w:i/>
        </w:rPr>
        <w:t>Anwendbares Recht</w:t>
      </w:r>
      <w:r>
        <w:t>. Bei der Durchführung des vorliegenden Übereinkommens und seiner Anhänge bedürfen die Vertragschliessenden Parteien der Zuteilung von Geldmitteln durch die zuständige Regierungsbehörde, wo dies erforderlich ist, und unterstehen den für die jeweiligen Vertragschliessenden Parteien geltenden Verfa</w:t>
      </w:r>
      <w:r>
        <w:t>s</w:t>
      </w:r>
      <w:r>
        <w:t>sungsbestimmungen, Gesetzen und Vorschriften, einschliesslich, jedoch nicht au</w:t>
      </w:r>
      <w:r>
        <w:t>s</w:t>
      </w:r>
      <w:r>
        <w:t>schliesslich der Gesetze, die Zahlungsverbote für Provisionen, Rabatte, Vermit</w:t>
      </w:r>
      <w:r>
        <w:t>t</w:t>
      </w:r>
      <w:r>
        <w:t>lungsgebühren oder Erfolgshonorare an Personen vorsehen, die mit der Beschaffung von Regierungsverträgen beauftragt sind, oder für Anteile an solchen Verträgen, die Regierungsbeamten zukommen.</w:t>
      </w:r>
    </w:p>
    <w:p>
      <w:pPr>
        <w:pStyle w:val="Absatz"/>
      </w:pPr>
      <w:r>
        <w:t>(c)  </w:t>
      </w:r>
      <w:r>
        <w:rPr>
          <w:i/>
        </w:rPr>
        <w:t>Beschlüsse des Verwaltungsrats der Agentur</w:t>
      </w:r>
      <w:r>
        <w:t>. Die Teilnehmer an den verschi</w:t>
      </w:r>
      <w:r>
        <w:t>e</w:t>
      </w:r>
      <w:r>
        <w:t>denen Projekten haben in angemessener Weise den Richtlinien für die Zusammen</w:t>
      </w:r>
      <w:r>
        <w:softHyphen/>
        <w:t>a</w:t>
      </w:r>
      <w:r>
        <w:t>r</w:t>
      </w:r>
      <w:r>
        <w:t>beit auf dem Gebiet der Forschung und Entwicklung im Energiebereich sowie deren allfälligen Änderungen und anderen dieses Gebiet betreffenden Beschlüssen des Verwaltungsrats der Agentur Rechnung zu tragen. Die Aufhebung der Richt</w:t>
      </w:r>
      <w:r>
        <w:softHyphen/>
        <w:t>l</w:t>
      </w:r>
      <w:r>
        <w:t>i</w:t>
      </w:r>
      <w:r>
        <w:t>nien soll das vorliegende Übereinkommen nicht berühren, sondern dieses bleibt gemäss seinen Bestimmungen in Kraft.</w:t>
      </w:r>
    </w:p>
    <w:p>
      <w:pPr>
        <w:pStyle w:val="Absatz"/>
      </w:pPr>
      <w:r>
        <w:t>(d)  </w:t>
      </w:r>
      <w:r>
        <w:rPr>
          <w:i/>
        </w:rPr>
        <w:t>Beilegung von Meinungsverschiedenheiten</w:t>
      </w:r>
      <w:r>
        <w:t>. Meinungsverschiedenheiten zw</w:t>
      </w:r>
      <w:r>
        <w:t>i</w:t>
      </w:r>
      <w:r>
        <w:t>schen den Vertragschliessenden Parteien über die Auslegung oder Anwendung des vorliegenden Übereinkommens, die nicht auf dem Verhandlungswege oder nach e</w:t>
      </w:r>
      <w:r>
        <w:t>i</w:t>
      </w:r>
      <w:r>
        <w:t>nem sonstigen vereinbarten Schlichtungsverfahren beigelegt werden, sollen vor ein Schiedsgericht gebracht werden, welches aus drei Schiedsrichtern besteht, die von den betroffenen Vertragschliessenden Parteien zu bestimmen sind, die auch den Vorsitzenden des Schiedsgerichts wählen. Können sich die betroffenen Vertra</w:t>
      </w:r>
      <w:r>
        <w:t>g</w:t>
      </w:r>
      <w:r>
        <w:t>schliessenden Parteien über die Zusammensetzung des Schiedsgerichts oder die Auswahl des Vorsitzenden nicht einigen, so soll auf Ersuchen einer der betroffenen Vertragschliessenden Parteien der Präsident des Internationalen Gerichtshofs diese Aufgabe übernehmen. Das Schiedsgericht hat über jede solche Meinungsverschi</w:t>
      </w:r>
      <w:r>
        <w:t>e</w:t>
      </w:r>
      <w:r>
        <w:t>denheit unter Bezugnahme auf die Bestimmungen des vorliegenden Übereinko</w:t>
      </w:r>
      <w:r>
        <w:t>m</w:t>
      </w:r>
      <w:r>
        <w:t>mens und allfälliger einschlägiger Gesetze und Vorschriften zu entscheiden; seine Entscheidung über Tatsachenfragen ist endgültig und für die Vertragschliessenden Parteien bindend. Projektleiter, die nicht Vertragschliessende Parteien sind, werden für die Zwecke des vorliegenden Absatzes als Vertragschliessende Parteien betrac</w:t>
      </w:r>
      <w:r>
        <w:t>h</w:t>
      </w:r>
      <w:r>
        <w:t>tet.</w:t>
      </w:r>
    </w:p>
    <w:p>
      <w:pPr>
        <w:pStyle w:val="Heading9"/>
      </w:pPr>
      <w:r>
        <w:rPr>
          <w:b/>
        </w:rPr>
        <w:t>Art. 10</w:t>
        <w:tab/>
      </w:r>
      <w:r>
        <w:t>Aufnahme und Rücktritt Vertragschliessender Parteien</w:t>
      </w:r>
    </w:p>
    <w:p>
      <w:pPr>
        <w:pStyle w:val="Absatz"/>
      </w:pPr>
      <w:r>
        <w:t>(a)  </w:t>
      </w:r>
      <w:r>
        <w:rPr>
          <w:i/>
        </w:rPr>
        <w:t xml:space="preserve">Aufnahme neuer Vertragschliessender Parteien: Agenturländer. </w:t>
      </w:r>
      <w:r>
        <w:t>Auf einstimm</w:t>
      </w:r>
      <w:r>
        <w:t>i</w:t>
      </w:r>
      <w:r>
        <w:t>ge Einladung seitens des Programmausschusses steht die Aufnahme in das vorli</w:t>
      </w:r>
      <w:r>
        <w:t>e</w:t>
      </w:r>
      <w:r>
        <w:t>gende Übereinkommen der Regierung jedes an der Agentur beteiligten Landes (oder einer von der betreffenden Regierung bezeichneten staatlichen Behörde, öffentlichen Körperschaft, privaten Organisation, Unternehmung oder sonstigen Körperschaft) offen, die das vorliegende Übereinkommen unterzeichnet oder ihm beitritt, die Rechte und Pflichten einer Vertragschliessenden Partei übernimmt und als Teilne</w:t>
      </w:r>
      <w:r>
        <w:t>h</w:t>
      </w:r>
      <w:r>
        <w:t>mer an mindestens einem Projekt von den anderen Teilnehmern an diesem Projekt einstimmig aufgenommen wird. Diese Aufnahme einer Vertragschliessenden Partei tritt bei der Unterzeichnung des vorliegenden Übereinkommens durch die neue Ve</w:t>
      </w:r>
      <w:r>
        <w:t>r</w:t>
      </w:r>
      <w:r>
        <w:t>tragschliessende Partei oder ihrem Beitritt dazu sowie bei Abgabe der Erklärung ihrer Teilnahme an einem oder mehreren der Anhänge und der Annahme der dazu e</w:t>
      </w:r>
      <w:r>
        <w:t>r</w:t>
      </w:r>
      <w:r>
        <w:t>folgten späteren Änderungen in Kraft.</w:t>
      </w:r>
    </w:p>
    <w:p>
      <w:pPr>
        <w:pStyle w:val="Absatz"/>
      </w:pPr>
      <w:r>
        <w:t>(b)  </w:t>
      </w:r>
      <w:r>
        <w:rPr>
          <w:i/>
        </w:rPr>
        <w:t>Beitritt neuer Vertragschliessender Parteien: Andere OECD</w:t>
      </w:r>
      <w:r>
        <w:rPr>
          <w:i/>
        </w:rPr>
        <w:noBreakHyphen/>
        <w:t xml:space="preserve">Länder. </w:t>
      </w:r>
      <w:r>
        <w:t>Die Regi</w:t>
      </w:r>
      <w:r>
        <w:t>e</w:t>
      </w:r>
      <w:r>
        <w:t>rung jedes Mitgliedstaats der Organisation für Wirtschaftliche Zusammenarbeit und Entwicklung, die nicht an der Agentur beteiligt ist, kann auf einstimmigen Vo</w:t>
      </w:r>
      <w:r>
        <w:t>r</w:t>
      </w:r>
      <w:r>
        <w:t>schlag des Programmausschusses vom Verwaltungsrat der Agentur eingeladen werden, unter den in Absatz (a) oben genannten Bedingungen eine Vertragschlie</w:t>
      </w:r>
      <w:r>
        <w:t>s</w:t>
      </w:r>
      <w:r>
        <w:t>sende Partei des vorliegenden Übereinkommens zu werden (oder eine staatliche Behörde, öffentliche Körperschaft, private Gesellschaft, Unternehmung oder sonst</w:t>
      </w:r>
      <w:r>
        <w:t>i</w:t>
      </w:r>
      <w:r>
        <w:t>ge Körpe</w:t>
      </w:r>
      <w:r>
        <w:t>r</w:t>
      </w:r>
      <w:r>
        <w:t>schaft dafür zu bezeichnen).</w:t>
      </w:r>
    </w:p>
    <w:p>
      <w:pPr>
        <w:pStyle w:val="Absatz"/>
      </w:pPr>
      <w:r>
        <w:t>(c)  </w:t>
      </w:r>
      <w:r>
        <w:rPr>
          <w:i/>
        </w:rPr>
        <w:t xml:space="preserve">Beteiligung seitens der Europäischen Gemeinschaften. </w:t>
      </w:r>
      <w:r>
        <w:t>Die Europäischen G</w:t>
      </w:r>
      <w:r>
        <w:t>e</w:t>
      </w:r>
      <w:r>
        <w:t>meinschaften können sich am vorliegenden Übereinkommen aufgrund von Verei</w:t>
      </w:r>
      <w:r>
        <w:t>n</w:t>
      </w:r>
      <w:r>
        <w:t>barungen mit dem einstimmig handelnden Programmausschuss beteiligen.</w:t>
      </w:r>
    </w:p>
    <w:p>
      <w:pPr>
        <w:pStyle w:val="Absatz"/>
      </w:pPr>
      <w:r>
        <w:t>(d)  </w:t>
      </w:r>
      <w:r>
        <w:rPr>
          <w:i/>
        </w:rPr>
        <w:t xml:space="preserve">Aufnahme neuer Projektteilnehmer. </w:t>
      </w:r>
      <w:r>
        <w:t>Jede Vertragschliessende Partei kann sich mit einstimmiger Einwilligung der Teilnehmer eines Projekts an diesem Projekt beteiligen. Diese Beteiligung tritt mit der Abgabe der Erklärung der Vertragschlie</w:t>
      </w:r>
      <w:r>
        <w:t>s</w:t>
      </w:r>
      <w:r>
        <w:t>senden Partei an den Exekutivdirektor hinsichtlich ihrer Teilnahme an dem entspr</w:t>
      </w:r>
      <w:r>
        <w:t>e</w:t>
      </w:r>
      <w:r>
        <w:t>chenden, das Projekt betreffenden Anhang sowie der Annahme der später erfolgten Änderungen dazu in Kraft.</w:t>
      </w:r>
    </w:p>
    <w:p>
      <w:pPr>
        <w:pStyle w:val="Absatz"/>
      </w:pPr>
      <w:r>
        <w:t>(e)  </w:t>
      </w:r>
      <w:r>
        <w:rPr>
          <w:i/>
        </w:rPr>
        <w:t xml:space="preserve">Beiträge. </w:t>
      </w:r>
      <w:r>
        <w:t>Der Programmausschuss kann als Bedingung für die Zulassung zur Beteiligung fordern, dass die neue Vertragschliessende Partei oder der neue Tei</w:t>
      </w:r>
      <w:r>
        <w:t>l</w:t>
      </w:r>
      <w:r>
        <w:t>nehmer einen angemessenen Anteil (in Form von Bargeld, Dienst</w:t>
      </w:r>
      <w:r>
        <w:noBreakHyphen/>
        <w:t xml:space="preserve"> oder Sachleistu</w:t>
      </w:r>
      <w:r>
        <w:t>n</w:t>
      </w:r>
      <w:r>
        <w:t>gen) an die vorangegangenen Budgetausgaben jedes Projekts, an dem sie sich bete</w:t>
      </w:r>
      <w:r>
        <w:t>i</w:t>
      </w:r>
      <w:r>
        <w:t>ligt, leistet.</w:t>
      </w:r>
    </w:p>
    <w:p>
      <w:pPr>
        <w:pStyle w:val="Absatz"/>
      </w:pPr>
      <w:r>
        <w:t>(f)  </w:t>
      </w:r>
      <w:r>
        <w:rPr>
          <w:i/>
        </w:rPr>
        <w:t xml:space="preserve">Ablösung von Vertragschliessenden Parteien. </w:t>
      </w:r>
      <w:r>
        <w:t>Mit einstimmiger Einwilligung des Programmausschusses und auf Ersuchen einer Regierung kann eine von dieser R</w:t>
      </w:r>
      <w:r>
        <w:t>e</w:t>
      </w:r>
      <w:r>
        <w:t>gierung bezeichnete Vertragschliessende Partei durch eine andere Partei ersetzt we</w:t>
      </w:r>
      <w:r>
        <w:t>r</w:t>
      </w:r>
      <w:r>
        <w:t>den. Im Falle einer solchen Ablösung übernimmt die ablösende Partei die Rechte und Pflichten einer Vertragschliessenden Partei gemäss den Bestimmungen von A</w:t>
      </w:r>
      <w:r>
        <w:t>b</w:t>
      </w:r>
      <w:r>
        <w:t>satz (a) oben im Einklang mit der darin festgelegten Verfahrensweise.</w:t>
      </w:r>
    </w:p>
    <w:p>
      <w:pPr>
        <w:pStyle w:val="Absatz"/>
      </w:pPr>
      <w:r>
        <w:t>(g)  </w:t>
      </w:r>
      <w:r>
        <w:rPr>
          <w:i/>
        </w:rPr>
        <w:t xml:space="preserve">Rücktritt. </w:t>
      </w:r>
      <w:r>
        <w:t>Jede Vertragschliessende Partei kann vom vorliegenden Übereinko</w:t>
      </w:r>
      <w:r>
        <w:t>m</w:t>
      </w:r>
      <w:r>
        <w:t>men oder von jedem Projekt entweder mit einstimmiger Einwilligung des Pr</w:t>
      </w:r>
      <w:r>
        <w:t>o</w:t>
      </w:r>
      <w:r>
        <w:t>grammausschusses oder durch eine zwölf Monate vorher abgegebene schriftliche Rücktrittserklärung an den Exekutivdirektor der Agentur zurücktreten, wobei jedoch eine solche Erklärung frühestens zwei Jahre nach Abschluss des vorliegenden Übe</w:t>
      </w:r>
      <w:r>
        <w:t>r</w:t>
      </w:r>
      <w:r>
        <w:t>einkommens erfolgen kann. Der Rücktritt einer Vertragschliessenden Partei gemäss diesem Absatz hat keinerlei Auswirkungen auf die Rechte und Pflichten der anderen Vertragschliessenden Parteien, mit der Ausnahme, dass, wenn die anderen Vertra</w:t>
      </w:r>
      <w:r>
        <w:t>g</w:t>
      </w:r>
      <w:r>
        <w:t>schliessenden Parteien zu einem gemeinsamen Fonds für ein Projekt beigetragen haben, ihre verhältnismässigen Anteile am Projektbudget so anzupassen sind, dass di</w:t>
      </w:r>
      <w:r>
        <w:t>e</w:t>
      </w:r>
      <w:r>
        <w:t>sem Rücktritt Rechnung getragen wird.</w:t>
      </w:r>
    </w:p>
    <w:p>
      <w:pPr>
        <w:pStyle w:val="Absatz"/>
      </w:pPr>
      <w:r>
        <w:t>(h)  </w:t>
      </w:r>
      <w:r>
        <w:rPr>
          <w:i/>
        </w:rPr>
        <w:t xml:space="preserve">Statusänderung einer Vertragschliessenden Partei. </w:t>
      </w:r>
      <w:r>
        <w:t>Eine Vertragschliessende Partei, die nicht eine Regierung oder internationale Organisation ist, hat den Pr</w:t>
      </w:r>
      <w:r>
        <w:t>o</w:t>
      </w:r>
      <w:r>
        <w:t>grammausschuss von jeder wichtigen Veränderung ihres Status oder ihrer Eige</w:t>
      </w:r>
      <w:r>
        <w:t>n</w:t>
      </w:r>
      <w:r>
        <w:t>tumsverhältnisse oder von der Eröffnung ihres Konkurses oder der Einleitung eines Liquidationsverfahrens unverzüglich zu benachrichtigen. Der Programmausschuss hat festzustellen, ob eine solche Veränderung des Status der Vertragschliessenden Partei die Interessen der andern Vertragschliessenden Parteien wesentlich beei</w:t>
      </w:r>
      <w:r>
        <w:t>n</w:t>
      </w:r>
      <w:r>
        <w:t>trächtigt ; stellt der Programmausschuss dies fest, dann gilt, falls der Programmau</w:t>
      </w:r>
      <w:r>
        <w:t>s</w:t>
      </w:r>
      <w:r>
        <w:t>schuss nicht auf einstimmigen Beschluss der andern Vertragschliessenden Parteien anders entscheidet, folgendes:</w:t>
      </w:r>
    </w:p>
    <w:p>
      <w:pPr>
        <w:pStyle w:val="Struktur1"/>
      </w:pPr>
      <w:r>
        <w:t>(1)</w:t>
        <w:tab/>
        <w:t>Die betreffende Vertragschliessende Partei gilt als zu einem vom Pr</w:t>
      </w:r>
      <w:r>
        <w:t>o</w:t>
      </w:r>
      <w:r>
        <w:t>grammausschuss festzusetzenden Termin im Sinne von Absatz (g) oben vom vo</w:t>
      </w:r>
      <w:r>
        <w:t>r</w:t>
      </w:r>
      <w:r>
        <w:t>liegenden Übereinkommen zurückgetreten.</w:t>
      </w:r>
    </w:p>
    <w:p>
      <w:pPr>
        <w:pStyle w:val="Struktur1"/>
      </w:pPr>
      <w:r>
        <w:t>(2)</w:t>
        <w:tab/>
        <w:t>Der Programmausschuss lädt die Regierung, die die betreffende Vertra</w:t>
      </w:r>
      <w:r>
        <w:t>g</w:t>
      </w:r>
      <w:r>
        <w:t>schliessende Partei bezeichnet hatte, ein, innerhalb von drei Monaten nach dem Rücktritt dieser Vertragschliessenden Partei eine andere Körperschaft zu bezeichnen, die Vertragschliessende Partei werden soll; wird diese vom Programmausschuss einstimmig gutgeheissen, dann wird sie von dem Zei</w:t>
      </w:r>
      <w:r>
        <w:t>t</w:t>
      </w:r>
      <w:r>
        <w:t>punkt an zur Vertragschliessenden Partei, an dem sie das vorliegende Übe</w:t>
      </w:r>
      <w:r>
        <w:t>r</w:t>
      </w:r>
      <w:r>
        <w:t>einkommen unterzeichnet oder ihm beitritt und dem Exekutivdirektor der Agentur eine Erklärung über ihre Teilnahme an einem oder an mehreren der Anhänge abgibt.</w:t>
      </w:r>
    </w:p>
    <w:p>
      <w:pPr>
        <w:pStyle w:val="Absatz"/>
      </w:pPr>
      <w:r>
        <w:t>(i)  </w:t>
      </w:r>
      <w:r>
        <w:rPr>
          <w:i/>
        </w:rPr>
        <w:t xml:space="preserve">Nichterfüllung von Vertragsverpflichtungen. </w:t>
      </w:r>
      <w:r>
        <w:t>Eine Vertragschliessende Partei, welche ihre Verpflichtungen aus dem vorliegenden Übereinkommen innerhalb von 60 Tagen nach Erhalt einer Benachrichtigung, die die Art der Versäumnisse präz</w:t>
      </w:r>
      <w:r>
        <w:t>i</w:t>
      </w:r>
      <w:r>
        <w:t>siert und sich auf den vorliegenden Absatz beruft, nicht erfüllt, kann vom Pr</w:t>
      </w:r>
      <w:r>
        <w:t>o</w:t>
      </w:r>
      <w:r>
        <w:t>grammausschuss aufgrund eines einstimmigen Beschlusses als vom vorliegenden Übereinkommen zurückgetreten erachtet werden.</w:t>
      </w:r>
    </w:p>
    <w:p>
      <w:pPr>
        <w:pStyle w:val="Heading9"/>
      </w:pPr>
      <w:r>
        <w:rPr>
          <w:b/>
        </w:rPr>
        <w:t>Art. 11</w:t>
      </w:r>
      <w:r>
        <w:tab/>
        <w:t>Schlussbestimmungen</w:t>
      </w:r>
    </w:p>
    <w:p>
      <w:pPr>
        <w:pStyle w:val="Absatz"/>
      </w:pPr>
      <w:r>
        <w:t>(a)  </w:t>
      </w:r>
      <w:r>
        <w:rPr>
          <w:i/>
        </w:rPr>
        <w:t xml:space="preserve">Dauer des Übereinkommens. </w:t>
      </w:r>
      <w:r>
        <w:t>Das vorliegende Übereinkommen bleibt zunächst für einen Zeitraum von drei Jahren seit dem Zeitpunkt seines Abschlusses in Kraft und bleibt in der Folge solange weiter bestehen, bis der Programmausschuss ei</w:t>
      </w:r>
      <w:r>
        <w:t>n</w:t>
      </w:r>
      <w:r>
        <w:t>stimmig seine Beendigung beschliesst.</w:t>
      </w:r>
    </w:p>
    <w:p>
      <w:pPr>
        <w:pStyle w:val="Absatz"/>
      </w:pPr>
      <w:r>
        <w:t>(b)  </w:t>
      </w:r>
      <w:r>
        <w:rPr>
          <w:i/>
        </w:rPr>
        <w:t>Rechtsbeziehungen zwischen den Vertragschliessenden Parteien bzw. den Tei</w:t>
      </w:r>
      <w:r>
        <w:rPr>
          <w:i/>
        </w:rPr>
        <w:t>l</w:t>
      </w:r>
      <w:r>
        <w:rPr>
          <w:i/>
        </w:rPr>
        <w:t xml:space="preserve">nehmern. </w:t>
      </w:r>
      <w:r>
        <w:t>Aus keiner Bestimmung des vorliegenden Übereinkommens kann die Begründung eines Gesellschaftsverhältnisses zwischen den Vertragschliessenden Pa</w:t>
      </w:r>
      <w:r>
        <w:t>r</w:t>
      </w:r>
      <w:r>
        <w:t>teien oder Teilnehmern abgeleitet werden.</w:t>
      </w:r>
    </w:p>
    <w:p>
      <w:pPr>
        <w:pStyle w:val="Absatz"/>
      </w:pPr>
      <w:r>
        <w:t>(c)  </w:t>
      </w:r>
      <w:r>
        <w:rPr>
          <w:i/>
        </w:rPr>
        <w:t xml:space="preserve">Beendigung. </w:t>
      </w:r>
      <w:r>
        <w:t>Nach Beendigung des vorliegenden Übereinkommens oder eines Anhanges dazu hat der Programmausschuss mit einstimmigem Beschluss Massna</w:t>
      </w:r>
      <w:r>
        <w:t>h</w:t>
      </w:r>
      <w:r>
        <w:t>men für die Liquidation der Vermögenswerte des Projekts oder der Projekte zu treffen. Im Falle einer solchen Liquidation hat der Programmausschuss, soweit durc</w:t>
      </w:r>
      <w:r>
        <w:t>h</w:t>
      </w:r>
      <w:r>
        <w:t>führbar, die Vermögenswerte des Projekts oder deren Erlös im Verhältnis zu den Beiträgen zu verteilen, die die Teilnehmer vom Beginn der Ausführung des Projekts an geleistet haben, wobei die Beiträge sowie allfällige offene Verpflichtu</w:t>
      </w:r>
      <w:r>
        <w:t>n</w:t>
      </w:r>
      <w:r>
        <w:t>gen ehemaliger Vertragschliessender Parteien zu berücksichtigen sind. Meinung</w:t>
      </w:r>
      <w:r>
        <w:t>s</w:t>
      </w:r>
      <w:r>
        <w:t>verschi</w:t>
      </w:r>
      <w:r>
        <w:t>e</w:t>
      </w:r>
      <w:r>
        <w:t>denheiten mit einer ehemaligen Vertragschliessenden Partei über den ihr nach dem vorliegenden Absatz zugeteilten Anteil sind im Sinne von Artikel 9 A</w:t>
      </w:r>
      <w:r>
        <w:t>b</w:t>
      </w:r>
      <w:r>
        <w:t>satz (d) des vorliegenden Übereinkommens beizulegen; zu diesem Zwecke soll eine ehemalige Vertragschliessende Partei als Vertragschliessende Partei betrachtet werden.</w:t>
      </w:r>
    </w:p>
    <w:p>
      <w:pPr>
        <w:pStyle w:val="Absatz"/>
      </w:pPr>
      <w:r>
        <w:t>(d)  Ä</w:t>
      </w:r>
      <w:r>
        <w:rPr>
          <w:i/>
        </w:rPr>
        <w:t xml:space="preserve">nderung. </w:t>
      </w:r>
      <w:r>
        <w:t>Das vorliegende Übereinkommen kann vom Programmausschuss jederzeit mit Einstimmigkeit geändert werden; auch kann jeder Anhang zum vorli</w:t>
      </w:r>
      <w:r>
        <w:t>e</w:t>
      </w:r>
      <w:r>
        <w:t>genden Übereinkommen vom Programmausschuss jederzeit auf einstimmigen B</w:t>
      </w:r>
      <w:r>
        <w:t>e</w:t>
      </w:r>
      <w:r>
        <w:t>schluss der Teilnehmer an dem Projekt, auf das sich der Anhang bezieht, geändert werden. Diese Änderungen treten in der vom Programmausschuss bestimmten We</w:t>
      </w:r>
      <w:r>
        <w:t>i</w:t>
      </w:r>
      <w:r>
        <w:t>se in Kraft, wobei dieser nach der Abstimmungsregel vorzugehen hat, die für den Beschluss über die Annahme der Änderung gilt.</w:t>
      </w:r>
    </w:p>
    <w:p>
      <w:pPr>
        <w:pStyle w:val="Absatz"/>
      </w:pPr>
      <w:r>
        <w:t>(e)  </w:t>
      </w:r>
      <w:r>
        <w:rPr>
          <w:i/>
        </w:rPr>
        <w:t xml:space="preserve">Hinterlegung. </w:t>
      </w:r>
      <w:r>
        <w:t>Die Urschrift des vorliegenden Übereinkommens wird beim Ex</w:t>
      </w:r>
      <w:r>
        <w:t>e</w:t>
      </w:r>
      <w:r>
        <w:t>kutivdirektor der Agentur hinterlegt, und jeder Vertragschliessenden Partei ist davon eine beglaubigte Abschrift zuzustellen. Je eine Abschrift des vorliegenden Übereinkommens geht sämtlichen Teilnehmerländern der Agentur und allen Mi</w:t>
      </w:r>
      <w:r>
        <w:t>t</w:t>
      </w:r>
      <w:r>
        <w:t>gliedstaaten der Organisation für Wirtschaftliche Zusammenarbeit und Entwicklung sowie den Europäischen Gemeinschaften zu.</w:t>
      </w:r>
    </w:p>
    <w:p>
      <w:pPr>
        <w:pStyle w:val="Abstand18pt"/>
      </w:pPr>
    </w:p>
    <w:p>
      <w:pPr>
        <w:pStyle w:val="Absatz"/>
      </w:pPr>
      <w:r>
        <w:t>Gegeben zu Paris, am 16. März 1977.</w:t>
      </w:r>
    </w:p>
    <w:p>
      <w:pPr>
        <w:pStyle w:val="VerweisArtkursiv"/>
      </w:pPr>
      <w:r>
        <w:t>(Es folgen die Unterschriften)</w:t>
      </w:r>
    </w:p>
    <w:p>
      <w:pPr>
        <w:pStyle w:val="TitelAnhrechts"/>
        <w:rPr>
          <w:i w:val="0"/>
        </w:rPr>
      </w:pPr>
      <w:r>
        <w:t xml:space="preserve">Anhang I </w:t>
      </w:r>
      <w:r>
        <w:rPr>
          <w:rStyle w:val="FootnoteReference"/>
          <w:i/>
          <w:noProof w:val="0"/>
          <w:lang w:val="de-CH" w:eastAsia="de-DE"/>
        </w:rPr>
        <w:footnoteReference w:id="6"/>
      </w:r>
    </w:p>
    <w:p>
      <w:pPr>
        <w:pStyle w:val="TitelAnhang"/>
      </w:pPr>
      <w:r>
        <w:t>Erstellung von Methodologien</w:t>
        <w:br/>
        <w:t>zur Last/Energie-Bestimmung von Gebäuden</w:t>
      </w:r>
    </w:p>
    <w:p>
      <w:pPr>
        <w:pStyle w:val="TitelAnh1"/>
      </w:pPr>
      <w:r>
        <w:t>1. Zielsetzung</w:t>
      </w:r>
    </w:p>
    <w:p>
      <w:pPr>
        <w:pStyle w:val="Absatz"/>
      </w:pPr>
      <w:r>
        <w:t>Das Ziel dieses Projekts ist die Untersuchung, Zusammenfassung und Bewertung analytischer Methoden zur Vorausberechnung der Belastungen und des Energi</w:t>
      </w:r>
      <w:r>
        <w:t>e</w:t>
      </w:r>
      <w:r>
        <w:t>verbrauchs von Gebäuden. Das Projekt wird es ermöglichen, die Ergebnisse der verschiedenen Methoden miteinander zu vergleichen und den Übereinstimmung</w:t>
      </w:r>
      <w:r>
        <w:t>s</w:t>
      </w:r>
      <w:r>
        <w:t>grad festzustellen.</w:t>
      </w:r>
    </w:p>
    <w:p>
      <w:pPr>
        <w:pStyle w:val="Absatz"/>
      </w:pPr>
      <w:r>
        <w:t>Als weiteres Ziel will das vorliegende Projekt den Teilnehmern Gelegenheit geben, sich mit dem amerikanischen «Lawrence Berkeley Laboratory (LBL)»&gt;System vertraut zu machen, sobald dieses betriebsfähig ist, um ihnen die laufende Bewe</w:t>
      </w:r>
      <w:r>
        <w:t>r</w:t>
      </w:r>
      <w:r>
        <w:t>tung, Beurteilung und den Vergleich von Systemen, die sie bereits selber entwickelt haben oder noch untersuchen, zu ermöglichen.</w:t>
      </w:r>
    </w:p>
    <w:p>
      <w:pPr>
        <w:pStyle w:val="Abstand18pt"/>
      </w:pPr>
    </w:p>
    <w:p>
      <w:pPr>
        <w:pStyle w:val="TitelAnh1"/>
      </w:pPr>
      <w:r>
        <w:t>2. Mittel</w:t>
      </w:r>
    </w:p>
    <w:p>
      <w:pPr>
        <w:pStyle w:val="Absatz"/>
      </w:pPr>
      <w:r>
        <w:t>Das Projekt wird auf der Basis der Aufgabenteilung durchgeführt und es umfasst: Sammlung von Daten, Analyse der Ergebnisse und Teilnahme am LBL</w:t>
      </w:r>
      <w:r>
        <w:noBreakHyphen/>
        <w:t>System.</w:t>
      </w:r>
    </w:p>
    <w:p>
      <w:pPr>
        <w:pStyle w:val="Abstand18pt"/>
      </w:pPr>
    </w:p>
    <w:p>
      <w:pPr>
        <w:pStyle w:val="TitelAnh1"/>
      </w:pPr>
      <w:r>
        <w:t>3. Aufgaben der Teilnehmer und des Projektleiters</w:t>
      </w:r>
    </w:p>
    <w:p>
      <w:pPr>
        <w:pStyle w:val="Absatz"/>
      </w:pPr>
      <w:r>
        <w:t>(a)  </w:t>
      </w:r>
      <w:r>
        <w:rPr>
          <w:i/>
        </w:rPr>
        <w:t>Aufgaben der Teilnehmer</w:t>
      </w:r>
      <w:r>
        <w:t>. Die Arbeiten dieses Projekts bestehen aus drei Tei</w:t>
      </w:r>
      <w:r>
        <w:t>l</w:t>
      </w:r>
      <w:r>
        <w:t>Projekten:</w:t>
      </w:r>
    </w:p>
    <w:p>
      <w:pPr>
        <w:pStyle w:val="Absatz"/>
      </w:pPr>
      <w:r>
        <w:rPr>
          <w:i/>
        </w:rPr>
        <w:t>Unterprojekt 1: Sammlung von Daten.</w:t>
      </w:r>
      <w:r>
        <w:t xml:space="preserve"> Jeder Teilnehmer wird analytische Methoden, welche zur Vorausberechnung des jährlichen Energieverbrauchs eines vorgegebenen Gebäudes oder zur Auswahl und Grössenbestimmung der Ausrüstung für dieses Gebäude verwendet werden, untersuchen und sammeln und dem Projektleiter vorl</w:t>
      </w:r>
      <w:r>
        <w:t>e</w:t>
      </w:r>
      <w:r>
        <w:t>gen. Zusätzliche wichtige Methoden, die zur Forschung benutzt werden, sollen auch vo</w:t>
      </w:r>
      <w:r>
        <w:t>r</w:t>
      </w:r>
      <w:r>
        <w:t>gelegt werden.</w:t>
      </w:r>
    </w:p>
    <w:p>
      <w:pPr>
        <w:pStyle w:val="Absatz"/>
      </w:pPr>
      <w:r>
        <w:rPr>
          <w:i/>
        </w:rPr>
        <w:t>Unterprojekt 2: Bestimmung der Übereinstimmung der Ergebnisse.</w:t>
      </w:r>
      <w:r>
        <w:t xml:space="preserve"> Wenn die E</w:t>
      </w:r>
      <w:r>
        <w:t>r</w:t>
      </w:r>
      <w:r>
        <w:t>gebnisse der Untersuchungen des Teilprojektes 1 vorliegen, wird der Projektleiter mit Hilfe der Teilnehmer Analysen durchführen, um zu bestimmen, bis zu welchem Grad zwischen den verschiedenen Techniken und dem LBL</w:t>
      </w:r>
      <w:r>
        <w:noBreakHyphen/>
        <w:t>System Übereinsti</w:t>
      </w:r>
      <w:r>
        <w:t>m</w:t>
      </w:r>
      <w:r>
        <w:t>mung herrscht.</w:t>
      </w:r>
    </w:p>
    <w:p>
      <w:pPr>
        <w:pStyle w:val="Absatz"/>
      </w:pPr>
      <w:r>
        <w:rPr>
          <w:i/>
        </w:rPr>
        <w:t>Unterprojekt 3: Übergabe der Ergebnisse und Zugang zum LBL</w:t>
      </w:r>
      <w:r>
        <w:rPr>
          <w:i/>
        </w:rPr>
        <w:noBreakHyphen/>
        <w:t>System</w:t>
      </w:r>
      <w:r>
        <w:t>. Nach Analyse der den Teilnehmern unterbreiteten Daten gemäss Teilprojekt 2 wird der Pr</w:t>
      </w:r>
      <w:r>
        <w:t>o</w:t>
      </w:r>
      <w:r>
        <w:t>jektleiter die so erhaltenen Informationen den Teilnehmern übermitteln. Der Projek</w:t>
      </w:r>
      <w:r>
        <w:t>t</w:t>
      </w:r>
      <w:r>
        <w:t>leiter wird dafür sorgen, dass die Teilnehmer während der Gültigkeitsdauer des vorliegenden Anhangs Zugang zum LBL</w:t>
      </w:r>
      <w:r>
        <w:noBreakHyphen/>
        <w:t>System haben. Zwei Teilnehmer, K</w:t>
      </w:r>
      <w:r>
        <w:t>a</w:t>
      </w:r>
      <w:r>
        <w:t>nada und Grossbritannien, werden ihre Systeme verbinden, um allen Teilnehmern einen anal</w:t>
      </w:r>
      <w:r>
        <w:t>y</w:t>
      </w:r>
      <w:r>
        <w:t>tischen Forschungsdienst zur Verfügung zu stellen.</w:t>
      </w:r>
    </w:p>
    <w:p>
      <w:pPr>
        <w:pStyle w:val="Absatz"/>
      </w:pPr>
      <w:r>
        <w:t>(b)  </w:t>
      </w:r>
      <w:r>
        <w:rPr>
          <w:i/>
        </w:rPr>
        <w:t xml:space="preserve">Sonderaufgaben des Projektleiters. </w:t>
      </w:r>
      <w:r>
        <w:t>Innert 90 Tagen nach Inkrafttreten dieses Anhangs wird der Projektleiter einen umfassenden Arbeitsplan sowie ein Schema ausarbeiten und diese dem Programmausschuss zur Genehmigung durch einstimm</w:t>
      </w:r>
      <w:r>
        <w:t>i</w:t>
      </w:r>
      <w:r>
        <w:t>gen Beschluss vorlegen.</w:t>
      </w:r>
    </w:p>
    <w:p>
      <w:pPr>
        <w:pStyle w:val="Abstand18pt"/>
      </w:pPr>
    </w:p>
    <w:p>
      <w:pPr>
        <w:pStyle w:val="TitelAnh1"/>
      </w:pPr>
      <w:r>
        <w:t>4. Finanzierung</w:t>
      </w:r>
    </w:p>
    <w:p>
      <w:pPr>
        <w:pStyle w:val="Absatz"/>
      </w:pPr>
      <w:r>
        <w:t>Jeder Teilnehmer soll die ihm bei der Durchführung der einzelnen Unterprojekte 1, 2 und 3 entstehenden Kosten selber tragen.</w:t>
      </w:r>
    </w:p>
    <w:p>
      <w:pPr>
        <w:pStyle w:val="Abstand18pt"/>
      </w:pPr>
    </w:p>
    <w:p>
      <w:pPr>
        <w:pStyle w:val="TitelAnh1"/>
      </w:pPr>
      <w:r>
        <w:t>5. Zeitplan</w:t>
      </w:r>
    </w:p>
    <w:p>
      <w:pPr>
        <w:pStyle w:val="Absatz"/>
      </w:pPr>
      <w:r>
        <w:t>Dieser Anhang bleibt während drei Jahren in Kraft. Er kann im Einverständnis mit jenen Teilnehmern, die eine Fortdauer des Projekts wünschen, verlängert werden.</w:t>
      </w:r>
    </w:p>
    <w:p>
      <w:pPr>
        <w:pStyle w:val="Abstand18pt"/>
      </w:pPr>
    </w:p>
    <w:p>
      <w:pPr>
        <w:pStyle w:val="TitelAnh1"/>
      </w:pPr>
      <w:r>
        <w:t>6. Projektleiter</w:t>
      </w:r>
    </w:p>
    <w:p>
      <w:pPr>
        <w:pStyle w:val="Absatz"/>
      </w:pPr>
      <w:r>
        <w:t>United States Energy Research and Development Administration, USA.</w:t>
      </w:r>
    </w:p>
    <w:p>
      <w:pPr>
        <w:pStyle w:val="Abstand18pt"/>
      </w:pPr>
    </w:p>
    <w:p>
      <w:pPr>
        <w:pStyle w:val="TitelAnh1"/>
      </w:pPr>
      <w:r>
        <w:t>7. Informationen und geistiges Eigentum</w:t>
      </w:r>
    </w:p>
    <w:p>
      <w:pPr>
        <w:pStyle w:val="Absatz"/>
      </w:pPr>
      <w:r>
        <w:t>(a)  </w:t>
      </w:r>
      <w:r>
        <w:rPr>
          <w:i/>
        </w:rPr>
        <w:t xml:space="preserve">Befugnisse des Programmausschusses. </w:t>
      </w:r>
      <w:r>
        <w:t xml:space="preserve">Die Veröffentlichung, Verbreitung, die Handhabung, der Schutz und Besitz von Informationen und geistigem Eigentum, welche sich aus dem vorliegenden </w:t>
      </w:r>
      <w:r>
        <w:rPr>
          <w:i/>
        </w:rPr>
        <w:t xml:space="preserve">Anhang I </w:t>
      </w:r>
      <w:r>
        <w:t>des IEA</w:t>
      </w:r>
      <w:r>
        <w:noBreakHyphen/>
        <w:t>Vollzugsübereinkommens für ein Programm für Forschung und Entwicklung auf dem Gebiet der rationellen Ene</w:t>
      </w:r>
      <w:r>
        <w:t>r</w:t>
      </w:r>
      <w:r>
        <w:t xml:space="preserve">gieverwendung in Gebäuden und Gemeinschaftssystemen (nachfolgend </w:t>
      </w:r>
      <w:r>
        <w:rPr>
          <w:i/>
        </w:rPr>
        <w:t xml:space="preserve">Anhang I </w:t>
      </w:r>
      <w:r>
        <w:t>genannt) ergeben, sollen vom Programmausschuss durch einstimmigen und mit di</w:t>
      </w:r>
      <w:r>
        <w:t>e</w:t>
      </w:r>
      <w:r>
        <w:t>sem Übereinkommen übereinstimmenden Beschluss festgelegt werden.</w:t>
      </w:r>
    </w:p>
    <w:p>
      <w:pPr>
        <w:pStyle w:val="Absatz"/>
      </w:pPr>
      <w:r>
        <w:t>(b)  </w:t>
      </w:r>
      <w:r>
        <w:rPr>
          <w:i/>
        </w:rPr>
        <w:t xml:space="preserve">Recht der Veröffentlichung. </w:t>
      </w:r>
      <w:r>
        <w:t>Mit Ausnahme der Einschränkung durch Urhebe</w:t>
      </w:r>
      <w:r>
        <w:t>r</w:t>
      </w:r>
      <w:r>
        <w:t xml:space="preserve">rechte (Copyright), haben die Teilnehmer am </w:t>
      </w:r>
      <w:r>
        <w:rPr>
          <w:i/>
        </w:rPr>
        <w:t xml:space="preserve">Anhang I </w:t>
      </w:r>
      <w:r>
        <w:t>das Recht, alle Informati</w:t>
      </w:r>
      <w:r>
        <w:t>o</w:t>
      </w:r>
      <w:r>
        <w:t xml:space="preserve">nen, die zur Durchführung der Arbeiten am </w:t>
      </w:r>
      <w:r>
        <w:rPr>
          <w:i/>
        </w:rPr>
        <w:t xml:space="preserve">Anhang 1 </w:t>
      </w:r>
      <w:r>
        <w:t>beschafft wurden oder sich daraus ergeben haben, mit Ausnahme der schutzfähigen Informationen, zu veröffen</w:t>
      </w:r>
      <w:r>
        <w:t>t</w:t>
      </w:r>
      <w:r>
        <w:t>lichen.</w:t>
      </w:r>
    </w:p>
    <w:p>
      <w:pPr>
        <w:pStyle w:val="Absatz"/>
      </w:pPr>
      <w:r>
        <w:t>(c)  </w:t>
      </w:r>
      <w:r>
        <w:rPr>
          <w:i/>
        </w:rPr>
        <w:t xml:space="preserve">Schutzfähige Informationen. </w:t>
      </w:r>
      <w:r>
        <w:t xml:space="preserve">Die Teilnehmer am </w:t>
      </w:r>
      <w:r>
        <w:rPr>
          <w:i/>
        </w:rPr>
        <w:t xml:space="preserve">Anhang I </w:t>
      </w:r>
      <w:r>
        <w:t>sollen gemäss dem vorliegenden Absatz, den Gesetzen ihrer Länder und dem internationalen Recht alle Massnahmen ergreifen, um schutzfähige Informationen zu schützen. Im Sinn dieses Absatzes bedeutet «schutzfähige Informationen» alle jene Informationen die, wie Geschäftsgeheimnisse und «know</w:t>
      </w:r>
      <w:r>
        <w:noBreakHyphen/>
        <w:t>how» (z.B. Computerprogramme, Auslesungsve</w:t>
      </w:r>
      <w:r>
        <w:t>r</w:t>
      </w:r>
      <w:r>
        <w:t xml:space="preserve">fahren und </w:t>
      </w:r>
      <w:r>
        <w:noBreakHyphen/>
        <w:t>techniken, chemische Verbindungen oder Herstellungsmethoden, Au</w:t>
      </w:r>
      <w:r>
        <w:t>f</w:t>
      </w:r>
      <w:r>
        <w:t>bereitungsverfahren und Prozesse) vertraulicher Natur und als solche gekennzeic</w:t>
      </w:r>
      <w:r>
        <w:t>h</w:t>
      </w:r>
      <w:r>
        <w:t>net sind, vorausgesetzt, dass solche Informationen</w:t>
      </w:r>
    </w:p>
    <w:p>
      <w:pPr>
        <w:pStyle w:val="Struktur1"/>
      </w:pPr>
      <w:r>
        <w:t>(1)</w:t>
        <w:tab/>
        <w:t>nicht allgemein bekannt oder von anderen Quellen erhältlich sind;</w:t>
      </w:r>
    </w:p>
    <w:p>
      <w:pPr>
        <w:pStyle w:val="Struktur1"/>
      </w:pPr>
      <w:r>
        <w:t>(2)</w:t>
        <w:tab/>
        <w:t>von den Eigentümern nicht bereits früher ohne Vorbehalt der Vertraulichkeit Dritten zur Verfügung gestellt wurden;</w:t>
      </w:r>
    </w:p>
    <w:p>
      <w:pPr>
        <w:pStyle w:val="Struktur1"/>
      </w:pPr>
      <w:r>
        <w:t>(3)</w:t>
        <w:tab/>
        <w:t>sich nicht bereits ohne Vorbehalt der Vertraulichkeit im Besitz von em</w:t>
      </w:r>
      <w:r>
        <w:t>p</w:t>
      </w:r>
      <w:r>
        <w:t xml:space="preserve">fangsberechtigten Teilnehmern am </w:t>
      </w:r>
      <w:r>
        <w:rPr>
          <w:i/>
        </w:rPr>
        <w:t xml:space="preserve">Anhang I </w:t>
      </w:r>
      <w:r>
        <w:t>befinden.</w:t>
      </w:r>
    </w:p>
    <w:p>
      <w:pPr>
        <w:pStyle w:val="Absatz"/>
      </w:pPr>
      <w:r>
        <w:t>Jeder Teilnehmer, der schutzfähige Informationen weitergibt, hat die Verantwo</w:t>
      </w:r>
      <w:r>
        <w:t>r</w:t>
      </w:r>
      <w:r>
        <w:t>tung, diese als solche zu identifizieren und zu kennzeichnen.</w:t>
      </w:r>
    </w:p>
    <w:p>
      <w:pPr>
        <w:pStyle w:val="Absatz"/>
      </w:pPr>
      <w:r>
        <w:t>(d)  </w:t>
      </w:r>
      <w:r>
        <w:rPr>
          <w:i/>
        </w:rPr>
        <w:t xml:space="preserve">Ausgabe von sachdienlichen Informationen durch Regierungen. </w:t>
      </w:r>
      <w:r>
        <w:t>Der Projektle</w:t>
      </w:r>
      <w:r>
        <w:t>i</w:t>
      </w:r>
      <w:r>
        <w:t>ter sollte die Regierungen aller an der Agentur teilnehmenden Länder veranlassen, dem Projektleiter alle veröffentlichten oder sonst frei erhältlichen Informationen, die ihnen bekannt und der Durchführung des Projekts sachdienlich sind, zur Verfügung zu stellen oder zu bezeichnen.</w:t>
      </w:r>
    </w:p>
    <w:p>
      <w:pPr>
        <w:pStyle w:val="Absatz"/>
      </w:pPr>
      <w:r>
        <w:t>(e)  </w:t>
      </w:r>
      <w:r>
        <w:rPr>
          <w:i/>
        </w:rPr>
        <w:t xml:space="preserve">Ausgabe von verfügbaren Informationen durch Teilnehmer. </w:t>
      </w:r>
      <w:r>
        <w:t>Jeder Teilnehmer erklärt sich bereit, dem Projektleiter alle bereits bestehenden Informationen, sowie Informationen, die unabhängig vom Projekt entwickelt wurden und vom Projektle</w:t>
      </w:r>
      <w:r>
        <w:t>i</w:t>
      </w:r>
      <w:r>
        <w:t>ter benötigt werden, um es ihm zu ermöglichen, seine Aufgaben an diesem Projekt zu erfüllen, und die dem Teilnehmer frei zur Verfügung stehen und deren Weiter</w:t>
      </w:r>
      <w:r>
        <w:softHyphen/>
        <w:t>gabe keinen vertraglichen und, oder gesetzlichen Einschränkungen unterliegt, zu b</w:t>
      </w:r>
      <w:r>
        <w:t>e</w:t>
      </w:r>
      <w:r>
        <w:t>schaffen, und zwar:</w:t>
      </w:r>
    </w:p>
    <w:p>
      <w:pPr>
        <w:pStyle w:val="Struktur1"/>
      </w:pPr>
      <w:r>
        <w:t>(1)</w:t>
        <w:tab/>
        <w:t>kostenlos für das Projekt, falls dem Teilnehmer dadurch keine grösseren Kos</w:t>
      </w:r>
      <w:r>
        <w:softHyphen/>
        <w:t>ten entstehen;</w:t>
      </w:r>
    </w:p>
    <w:p>
      <w:pPr>
        <w:pStyle w:val="Struktur1"/>
      </w:pPr>
      <w:r>
        <w:t>(2)</w:t>
        <w:tab/>
        <w:t>falls dem Teilnehmer durch die Verfügbarmachung solcher Informationen grössere Kosten entstehen, zu jenen dem Projekt anzulastenden Kosten, we</w:t>
      </w:r>
      <w:r>
        <w:t>l</w:t>
      </w:r>
      <w:r>
        <w:t>che der Teilnehmer mit dem Projektleiter mit Genehmigung des Program</w:t>
      </w:r>
      <w:r>
        <w:t>m</w:t>
      </w:r>
      <w:r>
        <w:t>ausschusses vereinbart hat.</w:t>
      </w:r>
    </w:p>
    <w:p>
      <w:pPr>
        <w:pStyle w:val="Absatz"/>
      </w:pPr>
      <w:r>
        <w:t>(f)  </w:t>
      </w:r>
      <w:r>
        <w:rPr>
          <w:i/>
        </w:rPr>
        <w:t xml:space="preserve">Verwendung vertraulicher Informationen. </w:t>
      </w:r>
      <w:r>
        <w:t>Falls ein Teilnehmer Zugang hat zu vertraulichen Informationen, welche für den Projektleiter bei der Durchführung von Studien, Schätzungen, Analysen oder Beurteilungen von Nutzen wären, so können solche Informationen dem Projektleiter mitgeteilt werden, sollen aber weder in Berichten oder anderen Dokumenten erscheinen, noch anderen Teilnehmern mitg</w:t>
      </w:r>
      <w:r>
        <w:t>e</w:t>
      </w:r>
      <w:r>
        <w:t>teilt werden, ausgenommen im gegenseitigen Einverständnis des die Informationen ve</w:t>
      </w:r>
      <w:r>
        <w:t>r</w:t>
      </w:r>
      <w:r>
        <w:t>mittelnden Teilnehmers mit dem Projektleiter.</w:t>
      </w:r>
    </w:p>
    <w:p>
      <w:pPr>
        <w:pStyle w:val="Absatz"/>
      </w:pPr>
      <w:r>
        <w:t>(g)  </w:t>
      </w:r>
      <w:r>
        <w:rPr>
          <w:i/>
        </w:rPr>
        <w:t xml:space="preserve">Beschaffung von Informationen für das Projekt. </w:t>
      </w:r>
      <w:r>
        <w:t>Jeder Teilnehmer soll den Projektleiter über die Existenz von Informationen unterrichten, die zwar für die Durc</w:t>
      </w:r>
      <w:r>
        <w:t>h</w:t>
      </w:r>
      <w:r>
        <w:t>führung des Projekts von Nutzen sein könnten, aber nicht frei erhältlich sind. Der Teilnehmer soll sich dann bemühen, die Informationen dem Projekt zu vernün</w:t>
      </w:r>
      <w:r>
        <w:t>f</w:t>
      </w:r>
      <w:r>
        <w:t>tigen Bedingungen verfügbar zu machen, in welchem Fall der Programmausschuss ei</w:t>
      </w:r>
      <w:r>
        <w:t>n</w:t>
      </w:r>
      <w:r>
        <w:t>stimmig beschliessen kann, die Informationen zu beschaffen.</w:t>
      </w:r>
    </w:p>
    <w:p>
      <w:pPr>
        <w:pStyle w:val="Absatz"/>
      </w:pPr>
      <w:r>
        <w:t>(h)  </w:t>
      </w:r>
      <w:r>
        <w:rPr>
          <w:i/>
        </w:rPr>
        <w:t xml:space="preserve">Berichte Über am Projekt ausgeführte Arbeiten. </w:t>
      </w:r>
      <w:r>
        <w:t>Der Projektleiter soll dem Pr</w:t>
      </w:r>
      <w:r>
        <w:t>o</w:t>
      </w:r>
      <w:r>
        <w:t>grammausschuss Berichte beschaffen über alle am Projekt ausgeführten Arbeiten und die Ergebnisse dieser Arbeiten, einschliesslich der Studien, Abschätzungen, Analysen, Beurteilungen und anderer Unterlagen, aber ausschliesslich der schutz</w:t>
      </w:r>
      <w:r>
        <w:softHyphen/>
        <w:t>f</w:t>
      </w:r>
      <w:r>
        <w:t>ä</w:t>
      </w:r>
      <w:r>
        <w:t>higen Informationen.</w:t>
      </w:r>
    </w:p>
    <w:p>
      <w:pPr>
        <w:pStyle w:val="Absatz"/>
      </w:pPr>
      <w:r>
        <w:t>(i)  </w:t>
      </w:r>
      <w:r>
        <w:rPr>
          <w:i/>
        </w:rPr>
        <w:t>Urheberrecht</w:t>
      </w:r>
      <w:r>
        <w:t xml:space="preserve"> (Copyright). Der Programmausschuss oder jedes von ihm bezeic</w:t>
      </w:r>
      <w:r>
        <w:t>h</w:t>
      </w:r>
      <w:r>
        <w:t>nete Mitglied kann geeignete Massnahmen ergreifen zum Schutze von urheberrech</w:t>
      </w:r>
      <w:r>
        <w:t>t</w:t>
      </w:r>
      <w:r>
        <w:t>lich zu schützendem Material, das durch das Projekt entstanden ist. Erhaltene Urh</w:t>
      </w:r>
      <w:r>
        <w:t>e</w:t>
      </w:r>
      <w:r>
        <w:t xml:space="preserve">berrechte sollen Eigentum des Projektleiters werden, vorausgesetzt, dass die Teilnehmer am </w:t>
      </w:r>
      <w:r>
        <w:rPr>
          <w:i/>
        </w:rPr>
        <w:t>Anhang I</w:t>
      </w:r>
      <w:r>
        <w:t xml:space="preserve"> solches Material reproduzieren und verteilen dürfen, ohne jedoch davon finanziell zu profitieren, es sei denn, der Programmausschuss treffe da</w:t>
      </w:r>
      <w:r>
        <w:t>r</w:t>
      </w:r>
      <w:r>
        <w:t>über einen anderen Entschluss.</w:t>
      </w:r>
    </w:p>
    <w:p>
      <w:pPr>
        <w:pStyle w:val="Absatz"/>
      </w:pPr>
      <w:r>
        <w:t>(j)  </w:t>
      </w:r>
      <w:r>
        <w:rPr>
          <w:i/>
        </w:rPr>
        <w:t xml:space="preserve">Autoren. </w:t>
      </w:r>
      <w:r>
        <w:t xml:space="preserve">Jeder Teilnehmer am </w:t>
      </w:r>
      <w:r>
        <w:rPr>
          <w:i/>
        </w:rPr>
        <w:t xml:space="preserve">Anhang I </w:t>
      </w:r>
      <w:r>
        <w:t xml:space="preserve">wird, unbeschadet der Autorenrechte gemäss seinen nationalen Gesetzen, alle nötigen Schritte unternehmen, um sich die Mitarbeit seiner Autoren, die zur Durchführung der Verordnungen dieses Absatzes benötigt wird, zu sichern. Jeder Teilnehmer am </w:t>
      </w:r>
      <w:r>
        <w:rPr>
          <w:i/>
        </w:rPr>
        <w:t xml:space="preserve">Anhang I </w:t>
      </w:r>
      <w:r>
        <w:t>übernimmt die Verantwo</w:t>
      </w:r>
      <w:r>
        <w:t>r</w:t>
      </w:r>
      <w:r>
        <w:t>tung, die Belohnungen und Entschädigungen, die laut den Gesetzen seines La</w:t>
      </w:r>
      <w:r>
        <w:t>n</w:t>
      </w:r>
      <w:r>
        <w:t>des seinen Angestellten zu entrichten sind, zu bezahlen.</w:t>
      </w:r>
    </w:p>
    <w:p>
      <w:pPr>
        <w:pStyle w:val="Abstand18pt"/>
      </w:pPr>
    </w:p>
    <w:p>
      <w:pPr>
        <w:pStyle w:val="TitelAnh1"/>
      </w:pPr>
      <w:r>
        <w:t>8. Teilnehmer an diesem Projekt:</w:t>
      </w:r>
    </w:p>
    <w:p>
      <w:pPr>
        <w:pStyle w:val="Absatz"/>
      </w:pPr>
      <w:r>
        <w:t>Folgende Vertragschliessende Parteien beteiligen sich an diesem Projekt:</w:t>
      </w:r>
    </w:p>
    <w:p>
      <w:pPr>
        <w:pStyle w:val="Absatz"/>
      </w:pPr>
      <w:r>
        <w:t>National Research Council of Canada,</w:t>
      </w:r>
    </w:p>
    <w:p>
      <w:pPr>
        <w:pStyle w:val="Absatz"/>
      </w:pPr>
      <w:r>
        <w:t>Consiglio Nazionale delle Ricerche, Italien,</w:t>
      </w:r>
    </w:p>
    <w:p>
      <w:pPr>
        <w:pStyle w:val="Absatz"/>
      </w:pPr>
      <w:r>
        <w:t>Eidgenössisches Amt für Wissenschaft und Forschung</w:t>
      </w:r>
      <w:r>
        <w:rPr>
          <w:rStyle w:val="FootnoteReference"/>
          <w:noProof w:val="0"/>
          <w:lang w:val="de-CH" w:eastAsia="de-DE"/>
        </w:rPr>
        <w:footnoteReference w:id="7"/>
      </w:r>
      <w:r>
        <w:t>, Schweiz,</w:t>
      </w:r>
    </w:p>
    <w:p>
      <w:pPr>
        <w:pStyle w:val="Absatz"/>
      </w:pPr>
      <w:r>
        <w:t>Atkins Research and Development, Grossbritannien,</w:t>
      </w:r>
    </w:p>
    <w:p>
      <w:pPr>
        <w:pStyle w:val="Absatz"/>
      </w:pPr>
      <w:r>
        <w:t>Haden Young Ltd., Grossbritannien,</w:t>
      </w:r>
    </w:p>
    <w:p>
      <w:pPr>
        <w:pStyle w:val="Absatz"/>
      </w:pPr>
      <w:r>
        <w:t>Oscar Faber and Partners, Grossbritannien,</w:t>
      </w:r>
    </w:p>
    <w:p>
      <w:pPr>
        <w:pStyle w:val="Absatz"/>
      </w:pPr>
      <w:r>
        <w:t>Pilkington Bros. Ltd., Grossbritannien,</w:t>
      </w:r>
    </w:p>
    <w:p>
      <w:pPr>
        <w:pStyle w:val="Absatz"/>
      </w:pPr>
      <w:r>
        <w:t>United States Energy Research and Development Administration, USA.</w:t>
      </w:r>
    </w:p>
    <w:p>
      <w:pPr>
        <w:pStyle w:val="Abstand1Seite"/>
      </w:pPr>
    </w:p>
    <w:sectPr>
      <w:headerReference w:type="even" r:id="rId5"/>
      <w:headerReference w:type="default" r:id="rId6"/>
      <w:footerReference w:type="even" r:id="rId7"/>
      <w:footerReference w:type="default" r:id="rId8"/>
      <w:footerReference w:type="first" r:id="rId9"/>
      <w:pgSz w:w="8398" w:h="11913"/>
      <w:pgMar w:top="737" w:right="680" w:bottom="850" w:left="1588" w:header="680" w:footer="567" w:gutter="0"/>
      <w:cols w:space="720"/>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AS-Fussnote"/>
      </w:pPr>
      <w:r>
        <w:t xml:space="preserve"> AS </w:t>
      </w:r>
      <w:r>
        <w:rPr>
          <w:b/>
        </w:rPr>
        <w:t>1980</w:t>
      </w:r>
      <w:r>
        <w:t xml:space="preserve"> 1346; BBl </w:t>
      </w:r>
      <w:r>
        <w:rPr>
          <w:b/>
        </w:rPr>
        <w:t>1979</w:t>
      </w:r>
      <w:r>
        <w:t xml:space="preserve"> I 917</w:t>
      </w:r>
    </w:p>
  </w:footnote>
  <w:footnote w:id="3">
    <w:p>
      <w:pPr>
        <w:pStyle w:val="FootnoteText"/>
      </w:pPr>
      <w:r>
        <w:rPr>
          <w:rStyle w:val="FootnoteReference"/>
          <w:noProof w:val="0"/>
          <w:lang w:val="de-CH" w:eastAsia="de-DE"/>
        </w:rPr>
        <w:footnoteRef/>
      </w:r>
      <w:r>
        <w:tab/>
        <w:t>Übersetzung des englischen Originaltextes.</w:t>
      </w:r>
    </w:p>
  </w:footnote>
  <w:footnote w:id="4">
    <w:p>
      <w:pPr>
        <w:pStyle w:val="FootnoteText"/>
      </w:pPr>
      <w:r>
        <w:rPr>
          <w:rStyle w:val="FootnoteReference"/>
          <w:noProof w:val="0"/>
          <w:lang w:val="de-CH" w:eastAsia="de-DE"/>
        </w:rPr>
        <w:footnoteRef/>
      </w:r>
      <w:r>
        <w:tab/>
        <w:t xml:space="preserve">Art. 1 Abs. 1 Bst. h des BB vom 17. Sept. 1979 (AS </w:t>
      </w:r>
      <w:r>
        <w:rPr>
          <w:b/>
        </w:rPr>
        <w:t>1980</w:t>
      </w:r>
      <w:r>
        <w:t xml:space="preserve"> 1215)</w:t>
      </w:r>
    </w:p>
  </w:footnote>
  <w:footnote w:id="5">
    <w:p>
      <w:pPr>
        <w:pStyle w:val="FootnoteText"/>
      </w:pPr>
      <w:r>
        <w:rPr>
          <w:rStyle w:val="FootnoteReference"/>
          <w:noProof w:val="0"/>
          <w:lang w:val="de-CH" w:eastAsia="de-DE"/>
        </w:rPr>
        <w:footnoteRef/>
      </w:r>
      <w:r>
        <w:tab/>
        <w:t xml:space="preserve">SR </w:t>
      </w:r>
      <w:r>
        <w:rPr>
          <w:b/>
        </w:rPr>
        <w:t>0.730.1</w:t>
      </w:r>
    </w:p>
  </w:footnote>
  <w:footnote w:id="6">
    <w:p>
      <w:pPr>
        <w:pStyle w:val="FootnoteText"/>
      </w:pPr>
      <w:r>
        <w:rPr>
          <w:rStyle w:val="FootnoteReference"/>
          <w:noProof w:val="0"/>
          <w:lang w:val="de-CH" w:eastAsia="de-DE"/>
        </w:rPr>
        <w:footnoteRef/>
      </w:r>
      <w:r>
        <w:t xml:space="preserve"> </w:t>
        <w:tab/>
        <w:t>In der AS wurde nur dieser Anhang veröffentlicht.</w:t>
      </w:r>
    </w:p>
  </w:footnote>
  <w:footnote w:id="7">
    <w:p>
      <w:pPr>
        <w:pStyle w:val="FootnoteText"/>
      </w:pPr>
      <w:r>
        <w:rPr>
          <w:rStyle w:val="FootnoteReference"/>
          <w:noProof w:val="0"/>
          <w:lang w:val="de-CH" w:eastAsia="de-DE"/>
        </w:rPr>
        <w:footnoteRef/>
      </w:r>
      <w:r>
        <w:tab/>
        <w:t xml:space="preserve">Heute: Staatsekretariat für Bildung, Forschung und Innovation (siehe AS </w:t>
      </w:r>
      <w:r>
        <w:rPr>
          <w:b/>
        </w:rPr>
        <w:t>2012</w:t>
      </w:r>
      <w:r>
        <w:t xml:space="preserve"> 3631).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rPr>
      <w:t>0.423.92</w:t>
    </w:r>
    <w:r>
      <w:fldChar w:fldCharType="end"/>
    </w:r>
  </w:p>
  <w:p>
    <w:pPr>
      <w:pStyle w:val="Header"/>
      <w:jc w:val="right"/>
    </w:pPr>
    <w:r>
      <w:t>Wissenschaft und Forschung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rPr>
      <w:t>0.423.92</w:t>
    </w:r>
    <w:r>
      <w:fldChar w:fldCharType="end"/>
    </w:r>
  </w:p>
  <w:p>
    <w:pPr>
      <w:pStyle w:val="Header"/>
    </w:pPr>
    <w:r>
      <w:t>Energieverwendung in Gebäuden und Gemeinschaftssystemen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linkStyles/>
  <w:stylePaneFormatFilter w:val="3F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2"/>
  <w:displayVerticalDrawingGridEvery w:val="0"/>
  <w:doNotShadeFormData/>
  <w:noPunctuationKerning/>
  <w:characterSpacingControl w:val="doNotCompress"/>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uppressAutoHyphens/>
      <w:spacing w:after="320" w:line="180" w:lineRule="exact"/>
    </w:pPr>
    <w:rPr>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link w:val="NotedebasdepageCar"/>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uppressAutoHyphens/>
      <w:spacing w:line="200" w:lineRule="exact"/>
    </w:pPr>
    <w:rPr>
      <w:i/>
      <w:sz w:val="18"/>
      <w:lang w:val="de-CH" w:eastAsia="de-DE" w:bidi="ar-SA"/>
    </w:rPr>
  </w:style>
  <w:style w:type="paragraph" w:customStyle="1" w:styleId="Ingress">
    <w:name w:val="Ingress"/>
    <w:next w:val="Verb"/>
    <w:pPr>
      <w:suppressAutoHyphens/>
      <w:spacing w:before="60" w:line="200" w:lineRule="exact"/>
    </w:pPr>
    <w:rPr>
      <w:sz w:val="18"/>
      <w:lang w:val="de-CH" w:eastAsia="de-DE" w:bidi="ar-SA"/>
    </w:rPr>
  </w:style>
  <w:style w:type="paragraph" w:customStyle="1" w:styleId="Verb">
    <w:name w:val="Verb"/>
    <w:pPr>
      <w:suppressAutoHyphens/>
      <w:spacing w:before="60" w:after="36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uppressAutoHyphens/>
      <w:spacing w:line="240" w:lineRule="exact"/>
    </w:pPr>
    <w:rPr>
      <w:b/>
      <w:sz w:val="24"/>
      <w:lang w:val="de-CH" w:eastAsia="de-DE" w:bidi="ar-SA"/>
    </w:rPr>
  </w:style>
  <w:style w:type="paragraph" w:customStyle="1" w:styleId="ErlassKurztitel">
    <w:name w:val="Erlass Kurztitel"/>
    <w:next w:val="ErlassDatum"/>
    <w:pPr>
      <w:keepNext/>
      <w:keepLines/>
      <w:suppressAutoHyphen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tabs>
        <w:tab w:val="left" w:pos="1134"/>
      </w:tabs>
      <w:spacing w:before="40" w:line="130" w:lineRule="exact"/>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bidi="ar-SA"/>
    </w:rPr>
  </w:style>
  <w:style w:type="paragraph" w:customStyle="1" w:styleId="Tab-Untertit8pt">
    <w:name w:val="Tab-Untertit /8pt"/>
    <w:pPr>
      <w:keepNext/>
      <w:keepLines/>
      <w:spacing w:before="160" w:line="160" w:lineRule="exact"/>
    </w:pPr>
    <w:rPr>
      <w:b/>
      <w:sz w:val="16"/>
      <w:lang w:val="de-CH" w:eastAsia="de-DE" w:bidi="ar-SA"/>
    </w:rPr>
  </w:style>
  <w:style w:type="paragraph" w:customStyle="1" w:styleId="KopfzeileSR">
    <w:name w:val="Kopfzeile SR"/>
    <w:pPr>
      <w:framePr w:wrap="around" w:xAlign="outside" w:y="-124"/>
      <w:suppressAutoHyphens/>
      <w:spacing w:line="260" w:lineRule="exact"/>
    </w:pPr>
    <w:rPr>
      <w:b/>
      <w:sz w:val="18"/>
      <w:lang w:val="de-CH" w:eastAsia="de-DE" w:bidi="ar-SA"/>
    </w:rPr>
  </w:style>
  <w:style w:type="paragraph" w:customStyle="1" w:styleId="Tab-Untertit9pt">
    <w:name w:val="Tab-Untertit /9pt"/>
    <w:pPr>
      <w:keepNext/>
      <w:keepLines/>
      <w:spacing w:before="160" w:line="200" w:lineRule="exact"/>
    </w:pPr>
    <w:rPr>
      <w:b/>
      <w:sz w:val="18"/>
      <w:lang w:val="de-CH" w:eastAsia="de-DE" w:bidi="ar-SA"/>
    </w:rPr>
  </w:style>
  <w:style w:type="paragraph" w:customStyle="1" w:styleId="TitelAnhang">
    <w:name w:val="Titel Anhang"/>
    <w:pPr>
      <w:keepNext/>
      <w:keepLines/>
      <w:suppressAutoHyphens/>
      <w:spacing w:before="240" w:after="160" w:line="220" w:lineRule="exact"/>
      <w:outlineLvl w:val="1"/>
    </w:pPr>
    <w:rPr>
      <w:b/>
      <w:sz w:val="22"/>
      <w:lang w:val="de-CH" w:eastAsia="de-DE" w:bidi="ar-SA"/>
    </w:rPr>
  </w:style>
  <w:style w:type="paragraph" w:customStyle="1" w:styleId="Tab-Utit8pt-kurs">
    <w:name w:val="Tab-Utit /8pt-kurs"/>
    <w:pPr>
      <w:keepNext/>
      <w:keepLines/>
      <w:spacing w:before="120" w:line="160" w:lineRule="exact"/>
    </w:pPr>
    <w:rPr>
      <w:i/>
      <w:sz w:val="16"/>
      <w:lang w:val="de-CH" w:eastAsia="de-DE" w:bidi="ar-SA"/>
    </w:rPr>
  </w:style>
  <w:style w:type="paragraph" w:customStyle="1" w:styleId="TitelAnhText">
    <w:name w:val="Titel Anh Text"/>
    <w:pPr>
      <w:keepNext/>
      <w:keepLines/>
      <w:suppressAutoHyphens/>
      <w:spacing w:line="200" w:lineRule="exact"/>
      <w:jc w:val="right"/>
    </w:pPr>
    <w:rPr>
      <w:sz w:val="18"/>
      <w:lang w:val="de-CH" w:eastAsia="de-DE" w:bidi="ar-SA"/>
    </w:rPr>
  </w:style>
  <w:style w:type="paragraph" w:customStyle="1" w:styleId="TitelAnhKurztit">
    <w:name w:val="Titel Anh Kurztit"/>
    <w:pPr>
      <w:keepNext/>
      <w:suppressAutoHyphens/>
      <w:spacing w:before="80" w:line="200" w:lineRule="exact"/>
      <w:outlineLvl w:val="2"/>
    </w:pPr>
    <w:rPr>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bidi="ar-SA"/>
    </w:rPr>
  </w:style>
  <w:style w:type="paragraph" w:customStyle="1" w:styleId="Tab-Utit9pt-kurs">
    <w:name w:val="Tab-Utit /9pt-kurs"/>
    <w:pPr>
      <w:keepNext/>
      <w:keepLines/>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Error">
    <w:name w:val="Error"/>
    <w:rPr>
      <w:rFonts w:ascii="Arial" w:hAnsi="Arial"/>
      <w:i/>
      <w:color w:val="FF0000"/>
      <w:lang w:val="de-CH" w:eastAsia="de-DE" w:bidi="ar-SA"/>
    </w:r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Tabkrper09pt">
    <w:name w:val="Tabkörper 0/9pt"/>
    <w:pPr>
      <w:spacing w:line="200" w:lineRule="exact"/>
    </w:pPr>
    <w:rPr>
      <w:sz w:val="18"/>
      <w:lang w:val="de-CH" w:eastAsia="de-DE" w:bidi="ar-SA"/>
    </w:rPr>
  </w:style>
  <w:style w:type="paragraph" w:customStyle="1" w:styleId="ZifferrmI">
    <w:name w:val="Ziffer röm. I"/>
    <w:pPr>
      <w:keepNext/>
      <w:keepLines/>
      <w:suppressAutoHyphens/>
      <w:spacing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customStyle="1" w:styleId="FuzeileMarg">
    <w:name w:val="Fußzeile Marg"/>
    <w:basedOn w:val="Footer"/>
    <w:pPr>
      <w:tabs>
        <w:tab w:val="right" w:pos="5103"/>
      </w:tabs>
      <w:ind w:left="-1021"/>
    </w:pPr>
  </w:style>
  <w:style w:type="paragraph" w:customStyle="1" w:styleId="KopfzeileMarg">
    <w:name w:val="Kopfzeile Marg"/>
    <w:basedOn w:val="Header"/>
    <w:pPr>
      <w:tabs>
        <w:tab w:val="right" w:pos="5103"/>
      </w:tabs>
      <w:ind w:left="-1021"/>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character" w:styleId="PageNumber">
    <w:name w:val="page number"/>
    <w:rPr>
      <w:rFonts w:ascii="Times New Roman" w:hAnsi="Times New Roman"/>
      <w:noProof/>
    </w:rPr>
  </w:style>
  <w:style w:type="paragraph" w:customStyle="1" w:styleId="Absatz08pt">
    <w:name w:val="Absatz 0/8pt"/>
    <w:basedOn w:val="Absatz8pt"/>
    <w:pPr>
      <w:spacing w:before="0"/>
    </w:pPr>
  </w:style>
  <w:style w:type="paragraph" w:customStyle="1" w:styleId="Absatz09pt">
    <w:name w:val="Absatz 0/9pt"/>
    <w:basedOn w:val="Absatz"/>
    <w:pPr>
      <w:spacing w:before="0"/>
    </w:pPr>
  </w:style>
  <w:style w:type="paragraph" w:customStyle="1" w:styleId="Absatzkurs">
    <w:name w:val="Absatz kurs"/>
    <w:basedOn w:val="Absatz"/>
    <w:rPr>
      <w:i/>
    </w:r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Abstand4pt">
    <w:name w:val="Abstand /4pt"/>
    <w:basedOn w:val="Abstand18pt"/>
    <w:pPr>
      <w:spacing w:before="60"/>
    </w:pPr>
    <w:rPr>
      <w:color w:val="00FF00"/>
    </w:r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Tabkrper08pt-fett">
    <w:name w:val="Tabkörper 0/8pt-fett"/>
    <w:basedOn w:val="Tabkrper08pt"/>
    <w:rPr>
      <w:b/>
    </w:rPr>
  </w:style>
  <w:style w:type="paragraph" w:customStyle="1" w:styleId="Tabkrper09pt-fett">
    <w:name w:val="Tabkörper 0/9pt-fett"/>
    <w:basedOn w:val="Tabkrper09pt"/>
    <w:rPr>
      <w:b/>
    </w:rPr>
  </w:style>
  <w:style w:type="paragraph" w:customStyle="1" w:styleId="Tabkrper49pt">
    <w:name w:val="Tabkörper 4/9pt"/>
    <w:basedOn w:val="Tabkrper09pt"/>
    <w:pPr>
      <w:spacing w:before="80"/>
    </w:pPr>
  </w:style>
  <w:style w:type="paragraph" w:customStyle="1" w:styleId="Tabkrper49pt-kurs">
    <w:name w:val="Tabkörper 4/9pt-kurs"/>
    <w:basedOn w:val="Tabkrper49pt"/>
    <w:rPr>
      <w:i/>
    </w:rPr>
  </w:style>
  <w:style w:type="paragraph" w:customStyle="1" w:styleId="TabkrperR09pt-kurs">
    <w:name w:val="Tabkörper R/0/9pt-kurs"/>
    <w:basedOn w:val="TabkrperR09pt"/>
    <w:rPr>
      <w:i/>
    </w:rPr>
  </w:style>
  <w:style w:type="paragraph" w:customStyle="1" w:styleId="TabkrperR49pt">
    <w:name w:val="Tabkörper R/4/9pt"/>
    <w:basedOn w:val="Tabkrper49pt"/>
    <w:pPr>
      <w:jc w:val="right"/>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krper29pt">
    <w:name w:val="Tabkörper 2/9pt"/>
    <w:basedOn w:val="Tabkrper09pt"/>
    <w:pPr>
      <w:spacing w:before="40"/>
    </w:pPr>
  </w:style>
  <w:style w:type="paragraph" w:customStyle="1" w:styleId="Tabkrper38pt-fett">
    <w:name w:val="Tabkörper 3/8pt-fett"/>
    <w:basedOn w:val="Tabkrper38pt"/>
    <w:rPr>
      <w:b/>
    </w:rPr>
  </w:style>
  <w:style w:type="paragraph" w:customStyle="1" w:styleId="Tabkrper49pt-fett">
    <w:name w:val="Tabkörper 4/9pt-fett"/>
    <w:basedOn w:val="Tabkrper49pt"/>
    <w:rPr>
      <w:b/>
    </w:rPr>
  </w:style>
  <w:style w:type="paragraph" w:customStyle="1" w:styleId="Tab-Struktur108pt">
    <w:name w:val="Tab-Struktur 1 0/8pt"/>
    <w:pPr>
      <w:tabs>
        <w:tab w:val="left" w:pos="227"/>
      </w:tabs>
      <w:spacing w:line="160" w:lineRule="exact"/>
      <w:ind w:left="227" w:hanging="227"/>
    </w:pPr>
    <w:rPr>
      <w:sz w:val="16"/>
      <w:lang w:val="de-CH" w:eastAsia="de-DE" w:bidi="ar-SA"/>
    </w:rPr>
  </w:style>
  <w:style w:type="paragraph" w:customStyle="1" w:styleId="Tab-Struktur109pt">
    <w:name w:val="Tab-Struktur 1 0/9pt"/>
    <w:pPr>
      <w:tabs>
        <w:tab w:val="left" w:pos="227"/>
      </w:tabs>
      <w:spacing w:line="200" w:lineRule="exact"/>
      <w:ind w:left="227" w:hanging="227"/>
    </w:pPr>
    <w:rPr>
      <w:sz w:val="18"/>
      <w:lang w:val="de-CH" w:eastAsia="de-DE" w:bidi="ar-SA"/>
    </w:rPr>
  </w:style>
  <w:style w:type="paragraph" w:customStyle="1" w:styleId="Tab-Struktur138pt">
    <w:name w:val="Tab-Struktur 1 3/8pt"/>
    <w:basedOn w:val="Tab-Struktur108pt"/>
    <w:pPr>
      <w:spacing w:before="60"/>
    </w:pPr>
  </w:style>
  <w:style w:type="paragraph" w:customStyle="1" w:styleId="Tab-Struktur149pt">
    <w:name w:val="Tab-Struktur 1 4/9pt"/>
    <w:basedOn w:val="Tab-Struktur109pt"/>
    <w:pPr>
      <w:spacing w:before="80"/>
    </w:pPr>
  </w:style>
  <w:style w:type="paragraph" w:customStyle="1" w:styleId="Tab-Struktur208pt">
    <w:name w:val="Tab-Struktur 2 0/8pt"/>
    <w:basedOn w:val="Tab-Struktur108pt"/>
    <w:pPr>
      <w:tabs>
        <w:tab w:val="left" w:pos="454"/>
      </w:tabs>
      <w:ind w:left="454"/>
    </w:pPr>
  </w:style>
  <w:style w:type="paragraph" w:customStyle="1" w:styleId="Tab-Struktur209pt">
    <w:name w:val="Tab-Struktur 2 0/9pt"/>
    <w:basedOn w:val="Tab-Struktur109pt"/>
    <w:pPr>
      <w:tabs>
        <w:tab w:val="left" w:pos="454"/>
      </w:tabs>
      <w:ind w:left="454"/>
    </w:pPr>
  </w:style>
  <w:style w:type="paragraph" w:customStyle="1" w:styleId="Tab-Struktur229pt">
    <w:name w:val="Tab-Struktur 2 2/9pt"/>
    <w:basedOn w:val="Tab-Struktur209pt"/>
    <w:pPr>
      <w:spacing w:before="40"/>
    </w:pPr>
  </w:style>
  <w:style w:type="paragraph" w:customStyle="1" w:styleId="Tab-Struktur308pt">
    <w:name w:val="Tab-Struktur 3 0/8pt"/>
    <w:basedOn w:val="Tab-Struktur208pt"/>
    <w:pPr>
      <w:tabs>
        <w:tab w:val="left" w:pos="680"/>
      </w:tabs>
      <w:ind w:left="681"/>
    </w:pPr>
  </w:style>
  <w:style w:type="paragraph" w:customStyle="1" w:styleId="Tab-Struktur309pt">
    <w:name w:val="Tab-Struktur 3 0/9pt"/>
    <w:basedOn w:val="Tab-Struktur209pt"/>
    <w:pPr>
      <w:tabs>
        <w:tab w:val="left" w:pos="680"/>
      </w:tabs>
      <w:ind w:left="681"/>
    </w:p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UnterschriftenFI1">
    <w:name w:val="UnterschriftenFI 1"/>
    <w:basedOn w:val="Unterschriften1"/>
    <w:pPr>
      <w:tabs>
        <w:tab w:val="left" w:pos="1701"/>
        <w:tab w:val="clear" w:pos="2807"/>
      </w:tabs>
    </w:pPr>
  </w:style>
  <w:style w:type="paragraph" w:customStyle="1" w:styleId="ErlassDatumAend">
    <w:name w:val="Erlass Datum Aend"/>
    <w:next w:val="ErlassLinie"/>
    <w:pPr>
      <w:keepNext/>
      <w:keepLines/>
    </w:pPr>
    <w:rPr>
      <w:b/>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trPr>
      <w:cantSplit/>
    </w:trPr>
  </w:style>
  <w:style w:type="character" w:customStyle="1" w:styleId="NotedebasdepageCar">
    <w:name w:val="Note de bas de page Car"/>
    <w:link w:val="FootnoteText"/>
    <w:locked/>
    <w:rPr>
      <w:sz w:val="16"/>
      <w:lang w:val="de-CH" w:eastAsia="de-DE"/>
    </w:rPr>
  </w:style>
  <w:style w:type="paragraph" w:customStyle="1" w:styleId="Tabkrper083pt">
    <w:name w:val="Tabkörper 0/8/3pt"/>
    <w:basedOn w:val="Tabkrper08pt"/>
    <w:qFormat/>
    <w:pPr>
      <w:spacing w:after="60"/>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MSOffice\Vorlagen\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18</Pages>
  <Words>5753</Words>
  <Characters>40048</Characters>
  <Application>Microsoft Office Word</Application>
  <DocSecurity>0</DocSecurity>
  <Lines>702</Lines>
  <Paragraphs>191</Paragraphs>
  <ScaleCrop>false</ScaleCrop>
  <TitlesOfParts>
    <vt:vector size="2" baseType="lpstr">
      <vt:lpstr>0.423.92</vt:lpstr>
      <vt:lpstr>0.423.92</vt:lpstr>
    </vt:vector>
  </TitlesOfParts>
  <Manager>Bernhard Moll, lic. jur., Stv. Leiter KAV, Schweizerische Bundeskanzlei (BK)</Manager>
  <Company>Autor Makros und Vorlagen: Stoupa &amp; Partners AG im Auftrag von K A V</Company>
  <LinksUpToDate>false</LinksUpToDate>
  <CharactersWithSpaces>45610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0.423.92</dc:title>
  <dc:subject>Vollzugsübereinkommen  über ein Programm für Forschung und Entwicklung  auf dem Gebiet der rationellen Energieverwendung  in Gebäuden und Gemeinschaftssystemen</dc:subject>
  <dc:creator>KAV - Kompetenzzentrum Amtliche Veröffentlichungen, BK</dc:creator>
  <cp:keywords>Rechtstext Formatvorlage DfV</cp:keywords>
  <dc:description>Dokumentvorlage / neue SR-Rechtstexte erstellen 
Stoupa &amp; Partners AG; Bernstr. 24; 3110 Münsingen
031 / 721 95 85                          Fax: 031 /721 95 86
E-Mail: Stoupa@Stoupa.com      Internet: www.stoupa.ch</dc:description>
  <cp:lastModifiedBy>Sidler Marianne BK</cp:lastModifiedBy>
  <cp:revision>3</cp:revision>
  <cp:lastPrinted>2012-08-08T14:26:00Z</cp:lastPrinted>
  <dcterms:created xsi:type="dcterms:W3CDTF">2012-08-10T14:21:00Z</dcterms:created>
  <dcterms:modified xsi:type="dcterms:W3CDTF">2017-11-27T13:50:00Z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43066</vt:i4>
  </property>
  <property fmtid="{D5CDD505-2E9C-101B-9397-08002B2CF9AE}" pid="3" name="MesserliCheck">
    <vt:i4>43066</vt:i4>
  </property>
  <property fmtid="{D5CDD505-2E9C-101B-9397-08002B2CF9AE}" pid="4" name="Tage06Check">
    <vt:i4>43066</vt:i4>
  </property>
  <property fmtid="{D5CDD505-2E9C-101B-9397-08002B2CF9AE}" pid="5" name="Tage90Check">
    <vt:i4>43066</vt:i4>
  </property>
  <property fmtid="{D5CDD505-2E9C-101B-9397-08002B2CF9AE}" pid="6" name="VersionCheck">
    <vt:i4>39777</vt:i4>
  </property>
</Properties>
</file>